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mc:AlternateContent>
          <mc:Choice Requires="wps">
            <w:drawing>
              <wp:anchor distT="0" distB="0" distL="114300" distR="114300" simplePos="0" relativeHeight="251659264" behindDoc="0" locked="0" layoutInCell="1" hidden="1" allowOverlap="1">
                <wp:simplePos x="0" y="0"/>
                <wp:positionH relativeFrom="column">
                  <wp:posOffset>3530600</wp:posOffset>
                </wp:positionH>
                <wp:positionV relativeFrom="paragraph">
                  <wp:posOffset>344170</wp:posOffset>
                </wp:positionV>
                <wp:extent cx="0" cy="0"/>
                <wp:effectExtent l="0" t="0" r="0" b="0"/>
                <wp:wrapNone/>
                <wp:docPr id="2" name="文本框 1" hidden="1"/>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val="FFFFFF">
                            <a:alpha val="0"/>
                          </a:srgbClr>
                        </a:solidFill>
                        <a:ln w="9525">
                          <a:solidFill>
                            <a:srgbClr val="000000">
                              <a:alpha val="0"/>
                            </a:srgbClr>
                          </a:solidFill>
                          <a:miter lim="800000"/>
                        </a:ln>
                      </wps:spPr>
                      <wps:txbx>
                        <w:txbxContent>
                          <w:p>
                            <w:r>
                              <w:t>E6636BC20180234D78A0072836F0BE2032B9B20C109A8BF0A1D98936B1492B856B49B73821CC0B0822192A0838467BEB6C0921EAA1D01B511BBFC2E27F1E15D924D433AD2327C4A744DB2E976A6F4F939E06ECB373943F7508B8F19341F9DC88D6162D980E3</w:t>
                            </w:r>
                          </w:p>
                        </w:txbxContent>
                      </wps:txbx>
                      <wps:bodyPr rot="0" vert="horz" wrap="square" lIns="91440" tIns="45720" rIns="91440" bIns="45720" anchor="t" anchorCtr="0" upright="1">
                        <a:noAutofit/>
                      </wps:bodyPr>
                    </wps:wsp>
                  </a:graphicData>
                </a:graphic>
              </wp:anchor>
            </w:drawing>
          </mc:Choice>
          <mc:Fallback>
            <w:pict>
              <v:rect id="文本框 1" o:spid="_x0000_s1026" o:spt="1" style="position:absolute;left:0pt;margin-left:278pt;margin-top:27.1pt;height:0pt;width:0pt;visibility:hidden;z-index:251659264;mso-width-relative:page;mso-height-relative:page;" fillcolor="#FFFFFF" filled="t" stroked="t" coordsize="21600,21600" o:gfxdata="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irzAbTAAAACQEAAA8AAAAAAAAAAQAgAAAAIgAAAGRycy9kb3ducmV2LnhtbFBLAQIUABQAAAAI&#10;AIdO4kBcNAjQKwIAAIcEAAAOAAAAAAAAAAEAIAAAACIBAABkcnMvZTJvRG9jLnhtbFBLBQYAAAAA&#10;BgAGAFkBAAC/BQAAAAA=&#10;">
                <v:fill on="t" opacity="0f" focussize="0,0"/>
                <v:stroke color="#000000" opacity="0f" miterlimit="8" joinstyle="miter"/>
                <v:imagedata o:title=""/>
                <o:lock v:ext="edit" aspectratio="f"/>
                <v:textbox>
                  <w:txbxContent>
                    <w:p>
                      <w:r>
                        <w:t>E6636BC20180234D78A0072836F0BE2032B9B20C109A8BF0A1D98936B1492B856B49B73821CC0B0822192A0838467BEB6C0921EAA1D01B511BBFC2E27F1E15D924D433AD2327C4A744DB2E976A6F4F939E06ECB373943F7508B8F19341F9DC88D6162D980E3</w:t>
                      </w:r>
                    </w:p>
                  </w:txbxContent>
                </v:textbox>
              </v:rect>
            </w:pict>
          </mc:Fallback>
        </mc:AlternateContent>
      </w:r>
      <w:r>
        <w:rPr>
          <w:rFonts w:hint="eastAsia"/>
          <w:b/>
          <w:bCs/>
          <w:sz w:val="36"/>
          <w:szCs w:val="36"/>
        </w:rPr>
        <w:t>授权委托书</w:t>
      </w:r>
    </w:p>
    <w:p>
      <w:pPr>
        <w:spacing w:line="360" w:lineRule="auto"/>
        <w:rPr>
          <w:b/>
          <w:bCs/>
        </w:rPr>
      </w:pPr>
    </w:p>
    <w:p>
      <w:pPr>
        <w:spacing w:line="360" w:lineRule="auto"/>
      </w:pPr>
      <w:r>
        <w:rPr>
          <w:rFonts w:hint="eastAsia"/>
          <w:b/>
          <w:bCs/>
        </w:rPr>
        <w:t>委托方为法人</w:t>
      </w:r>
      <w:r>
        <w:rPr>
          <w:rFonts w:hint="eastAsia"/>
        </w:rPr>
        <w:t>：</w:t>
      </w:r>
    </w:p>
    <w:p>
      <w:pPr>
        <w:spacing w:line="360" w:lineRule="auto"/>
      </w:pPr>
      <w:r>
        <w:rPr>
          <w:rFonts w:hint="eastAsia"/>
        </w:rPr>
        <w:t>委托方：</w:t>
      </w:r>
      <w:r>
        <w:fldChar w:fldCharType="begin">
          <w:ffData>
            <w:name w:val="文字3"/>
            <w:enabled/>
            <w:calcOnExit w:val="0"/>
            <w:textInput/>
          </w:ffData>
        </w:fldChar>
      </w:r>
      <w:bookmarkStart w:id="0" w:name="文字3"/>
      <w:r>
        <w:instrText xml:space="preserve"> </w:instrText>
      </w:r>
      <w:r>
        <w:rPr>
          <w:rFonts w:hint="eastAsia"/>
        </w:rPr>
        <w:instrText xml:space="preserve">FORMTEXT</w:instrText>
      </w:r>
      <w:r>
        <w:instrText xml:space="preserve"> </w:instrText>
      </w:r>
      <w:r>
        <w:fldChar w:fldCharType="separate"/>
      </w:r>
      <w:r>
        <w:t>     </w:t>
      </w:r>
      <w:r>
        <w:fldChar w:fldCharType="end"/>
      </w:r>
      <w:bookmarkEnd w:id="0"/>
      <w:r>
        <w:rPr>
          <w:rFonts w:hint="eastAsia"/>
        </w:rPr>
        <w:t xml:space="preserve"> </w:t>
      </w:r>
      <w:r>
        <w:t xml:space="preserve">              </w:t>
      </w:r>
      <w:r>
        <w:rPr>
          <w:rFonts w:hint="eastAsia"/>
        </w:rPr>
        <w:t>统一社会信用代码：</w:t>
      </w:r>
      <w:r>
        <w:fldChar w:fldCharType="begin">
          <w:ffData>
            <w:name w:val="文字4"/>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t xml:space="preserve"> </w:t>
      </w:r>
    </w:p>
    <w:p>
      <w:pPr>
        <w:spacing w:line="360" w:lineRule="auto"/>
      </w:pPr>
      <w:r>
        <w:rPr>
          <w:rFonts w:hint="eastAsia"/>
        </w:rPr>
        <w:t>联系人：</w:t>
      </w:r>
      <w:r>
        <w:fldChar w:fldCharType="begin">
          <w:ffData>
            <w:name w:val="文字5"/>
            <w:enabled/>
            <w:calcOnExit w:val="0"/>
            <w:textInput/>
          </w:ffData>
        </w:fldChar>
      </w:r>
      <w:bookmarkStart w:id="1" w:name="文字5"/>
      <w:r>
        <w:instrText xml:space="preserve"> </w:instrText>
      </w:r>
      <w:r>
        <w:rPr>
          <w:rFonts w:hint="eastAsia"/>
        </w:rPr>
        <w:instrText xml:space="preserve">FORMTEXT</w:instrText>
      </w:r>
      <w:r>
        <w:instrText xml:space="preserve"> </w:instrText>
      </w:r>
      <w:r>
        <w:fldChar w:fldCharType="separate"/>
      </w:r>
      <w:r>
        <w:t>     </w:t>
      </w:r>
      <w:r>
        <w:fldChar w:fldCharType="end"/>
      </w:r>
      <w:bookmarkEnd w:id="1"/>
      <w:r>
        <w:t xml:space="preserve">               </w:t>
      </w:r>
      <w:r>
        <w:rPr>
          <w:rFonts w:hint="eastAsia"/>
        </w:rPr>
        <w:t>联系地址：</w:t>
      </w:r>
      <w:r>
        <w:fldChar w:fldCharType="begin">
          <w:ffData>
            <w:name w:val="文字4"/>
            <w:enabled/>
            <w:calcOnExit w:val="0"/>
            <w:textInput/>
          </w:ffData>
        </w:fldChar>
      </w:r>
      <w:bookmarkStart w:id="2" w:name="文字4"/>
      <w:r>
        <w:instrText xml:space="preserve"> </w:instrText>
      </w:r>
      <w:r>
        <w:rPr>
          <w:rFonts w:hint="eastAsia"/>
        </w:rPr>
        <w:instrText xml:space="preserve">FORMTEXT</w:instrText>
      </w:r>
      <w:r>
        <w:instrText xml:space="preserve"> </w:instrText>
      </w:r>
      <w:r>
        <w:fldChar w:fldCharType="separate"/>
      </w:r>
      <w:r>
        <w:t>     </w:t>
      </w:r>
      <w:r>
        <w:fldChar w:fldCharType="end"/>
      </w:r>
      <w:bookmarkEnd w:id="2"/>
      <w:r>
        <w:t xml:space="preserve"> </w:t>
      </w:r>
    </w:p>
    <w:p>
      <w:pPr>
        <w:spacing w:line="360" w:lineRule="auto"/>
      </w:pPr>
      <w:r>
        <w:rPr>
          <w:rFonts w:hint="eastAsia"/>
        </w:rPr>
        <w:t>联系电话：</w:t>
      </w:r>
      <w:r>
        <w:fldChar w:fldCharType="begin">
          <w:ffData>
            <w:name w:val="文字6"/>
            <w:enabled/>
            <w:calcOnExit w:val="0"/>
            <w:textInput/>
          </w:ffData>
        </w:fldChar>
      </w:r>
      <w:bookmarkStart w:id="3" w:name="文字6"/>
      <w:r>
        <w:instrText xml:space="preserve"> </w:instrText>
      </w:r>
      <w:r>
        <w:rPr>
          <w:rFonts w:hint="eastAsia"/>
        </w:rPr>
        <w:instrText xml:space="preserve">FORMTEXT</w:instrText>
      </w:r>
      <w:r>
        <w:instrText xml:space="preserve"> </w:instrText>
      </w:r>
      <w:r>
        <w:fldChar w:fldCharType="separate"/>
      </w:r>
      <w:r>
        <w:t>     </w:t>
      </w:r>
      <w:r>
        <w:fldChar w:fldCharType="end"/>
      </w:r>
      <w:bookmarkEnd w:id="3"/>
      <w:r>
        <w:rPr>
          <w:rFonts w:hint="eastAsia"/>
        </w:rPr>
        <w:t xml:space="preserve"> </w:t>
      </w:r>
      <w:r>
        <w:t xml:space="preserve">            </w:t>
      </w:r>
      <w:r>
        <w:rPr>
          <w:rFonts w:hint="eastAsia"/>
        </w:rPr>
        <w:t>邮箱地址：</w:t>
      </w:r>
      <w:r>
        <w:fldChar w:fldCharType="begin">
          <w:ffData>
            <w:name w:val="文字7"/>
            <w:enabled/>
            <w:calcOnExit w:val="0"/>
            <w:textInput/>
          </w:ffData>
        </w:fldChar>
      </w:r>
      <w:bookmarkStart w:id="4" w:name="文字7"/>
      <w:r>
        <w:instrText xml:space="preserve"> </w:instrText>
      </w:r>
      <w:r>
        <w:rPr>
          <w:rFonts w:hint="eastAsia"/>
        </w:rPr>
        <w:instrText xml:space="preserve">FORMTEXT</w:instrText>
      </w:r>
      <w:r>
        <w:instrText xml:space="preserve"> </w:instrText>
      </w:r>
      <w:r>
        <w:fldChar w:fldCharType="separate"/>
      </w:r>
      <w:r>
        <w:t>     </w:t>
      </w:r>
      <w:r>
        <w:fldChar w:fldCharType="end"/>
      </w:r>
      <w:bookmarkEnd w:id="4"/>
    </w:p>
    <w:p>
      <w:pPr>
        <w:spacing w:line="360" w:lineRule="auto"/>
      </w:pPr>
    </w:p>
    <w:p>
      <w:pPr>
        <w:spacing w:line="360" w:lineRule="auto"/>
        <w:rPr>
          <w:b/>
          <w:bCs/>
        </w:rPr>
      </w:pPr>
      <w:r>
        <w:rPr>
          <w:rFonts w:hint="eastAsia"/>
          <w:b/>
          <w:bCs/>
        </w:rPr>
        <w:t>委托方为自然人</w:t>
      </w:r>
    </w:p>
    <w:p>
      <w:pPr>
        <w:spacing w:line="360" w:lineRule="auto"/>
      </w:pPr>
      <w:r>
        <w:rPr>
          <w:rFonts w:hint="eastAsia"/>
        </w:rPr>
        <w:t>委托方：</w:t>
      </w:r>
      <w:r>
        <w:fldChar w:fldCharType="begin">
          <w:ffData>
            <w:name w:val="文字3"/>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 xml:space="preserve"> </w:t>
      </w:r>
      <w:r>
        <w:t xml:space="preserve">              </w:t>
      </w:r>
      <w:r>
        <w:rPr>
          <w:rFonts w:hint="eastAsia"/>
        </w:rPr>
        <w:t>身份证号码：</w:t>
      </w:r>
      <w:r>
        <w:fldChar w:fldCharType="begin">
          <w:ffData>
            <w:name w:val="文字4"/>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t xml:space="preserve"> </w:t>
      </w:r>
    </w:p>
    <w:p>
      <w:pPr>
        <w:spacing w:line="360" w:lineRule="auto"/>
      </w:pPr>
      <w:r>
        <w:rPr>
          <w:rFonts w:hint="eastAsia"/>
        </w:rPr>
        <w:t>联系地址：</w:t>
      </w:r>
      <w:r>
        <w:fldChar w:fldCharType="begin">
          <w:ffData>
            <w:name w:val="文字4"/>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t xml:space="preserve"> </w:t>
      </w:r>
    </w:p>
    <w:p>
      <w:pPr>
        <w:spacing w:line="360" w:lineRule="auto"/>
      </w:pPr>
      <w:r>
        <w:rPr>
          <w:rFonts w:hint="eastAsia"/>
        </w:rPr>
        <w:t>联系电话：</w:t>
      </w:r>
      <w:r>
        <w:fldChar w:fldCharType="begin">
          <w:ffData>
            <w:name w:val="文字6"/>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 xml:space="preserve"> </w:t>
      </w:r>
      <w:r>
        <w:t xml:space="preserve">            </w:t>
      </w:r>
      <w:r>
        <w:rPr>
          <w:rFonts w:hint="eastAsia"/>
        </w:rPr>
        <w:t>邮箱地址：</w:t>
      </w:r>
      <w:r>
        <w:fldChar w:fldCharType="begin">
          <w:ffData>
            <w:name w:val="文字7"/>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p>
    <w:p>
      <w:pPr>
        <w:spacing w:line="360" w:lineRule="auto"/>
      </w:pPr>
    </w:p>
    <w:p>
      <w:r>
        <w:rPr>
          <w:rFonts w:hint="eastAsia"/>
        </w:rPr>
        <w:t>受托方：</w:t>
      </w:r>
      <w:r>
        <w:rPr>
          <w:rFonts w:hint="eastAsia"/>
          <w:lang w:val="en-US" w:eastAsia="zh-CN"/>
        </w:rPr>
        <w:t>深圳市淘小拍信息咨询服务有限公司</w:t>
      </w:r>
      <w:r>
        <w:rPr>
          <w:rFonts w:hint="eastAsia"/>
        </w:rPr>
        <w:t xml:space="preserve"> </w:t>
      </w:r>
      <w:r>
        <w:t xml:space="preserve">    </w:t>
      </w:r>
      <w:r>
        <w:rPr>
          <w:rFonts w:hint="eastAsia"/>
        </w:rPr>
        <w:t>统一社会信用代码：</w:t>
      </w:r>
      <w:r>
        <w:rPr>
          <w:rFonts w:hint="eastAsia"/>
          <w:lang w:val="en-US" w:eastAsia="zh-CN"/>
        </w:rPr>
        <w:t>91440300MA5H8DJ44Y</w:t>
      </w:r>
      <w:r>
        <w:t xml:space="preserve"> </w:t>
      </w:r>
    </w:p>
    <w:p>
      <w:pPr>
        <w:spacing w:line="360" w:lineRule="auto"/>
      </w:pPr>
      <w:r>
        <w:rPr>
          <w:rFonts w:hint="eastAsia"/>
        </w:rPr>
        <w:t>联系人：</w:t>
      </w:r>
      <w:r>
        <w:fldChar w:fldCharType="begin">
          <w:ffData>
            <w:name w:val="文字5"/>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t xml:space="preserve">                   </w:t>
      </w:r>
      <w:r>
        <w:rPr>
          <w:rFonts w:hint="eastAsia"/>
        </w:rPr>
        <w:t>联系地址：</w:t>
      </w:r>
      <w:r>
        <w:fldChar w:fldCharType="begin">
          <w:ffData>
            <w:name w:val="文字4"/>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t xml:space="preserve"> </w:t>
      </w:r>
    </w:p>
    <w:p>
      <w:pPr>
        <w:spacing w:line="360" w:lineRule="auto"/>
      </w:pPr>
      <w:r>
        <w:rPr>
          <w:rFonts w:hint="eastAsia"/>
        </w:rPr>
        <w:t>联系电话：</w:t>
      </w:r>
      <w:r>
        <w:fldChar w:fldCharType="begin">
          <w:ffData>
            <w:name w:val="文字6"/>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 xml:space="preserve"> </w:t>
      </w:r>
      <w:r>
        <w:t xml:space="preserve">                </w:t>
      </w:r>
      <w:r>
        <w:rPr>
          <w:rFonts w:hint="eastAsia"/>
        </w:rPr>
        <w:t>邮箱地址：</w:t>
      </w:r>
      <w:r>
        <w:fldChar w:fldCharType="begin">
          <w:ffData>
            <w:name w:val="文字7"/>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p>
    <w:p>
      <w:pPr>
        <w:spacing w:line="360" w:lineRule="auto"/>
      </w:pPr>
    </w:p>
    <w:p>
      <w:pPr>
        <w:spacing w:line="360" w:lineRule="auto"/>
        <w:rPr>
          <w:b/>
          <w:bCs/>
        </w:rPr>
      </w:pPr>
    </w:p>
    <w:p>
      <w:pPr>
        <w:spacing w:line="360" w:lineRule="auto"/>
        <w:rPr>
          <w:b/>
          <w:bCs/>
        </w:rPr>
      </w:pPr>
      <w:r>
        <w:rPr>
          <w:rFonts w:hint="eastAsia"/>
          <w:b/>
          <w:bCs/>
        </w:rPr>
        <w:t>鉴于：</w:t>
      </w:r>
    </w:p>
    <w:p>
      <w:pPr>
        <w:spacing w:line="360" w:lineRule="auto"/>
        <w:ind w:firstLine="480" w:firstLineChars="200"/>
      </w:pPr>
      <w:r>
        <w:rPr>
          <w:rFonts w:hint="eastAsia"/>
        </w:rPr>
        <w:t xml:space="preserve">1、委托方合法拥有坐落于【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t xml:space="preserve">  </w:t>
      </w:r>
      <w:r>
        <w:rPr>
          <w:rFonts w:hint="eastAsia"/>
          <w:lang w:val="en-US" w:eastAsia="zh-CN"/>
        </w:rPr>
        <w:t xml:space="preserve">    </w:t>
      </w:r>
      <w:r>
        <w:t xml:space="preserve"> </w:t>
      </w:r>
      <w:r>
        <w:rPr>
          <w:rFonts w:hint="eastAsia"/>
        </w:rPr>
        <w:t xml:space="preserve"> </w:t>
      </w:r>
      <w:r>
        <w:t xml:space="preserve"> </w:t>
      </w:r>
      <w:r>
        <w:rPr>
          <w:rFonts w:hint="eastAsia"/>
        </w:rPr>
        <w:t xml:space="preserve">】（不动产权登记号： </w:t>
      </w:r>
      <w:r>
        <w:rPr>
          <w:rFonts w:hint="eastAsia"/>
          <w:lang w:val="en-US" w:eastAsia="zh-CN"/>
        </w:rPr>
        <w:t xml:space="preserve">          </w:t>
      </w:r>
      <w:r>
        <w:t xml:space="preserve">       </w:t>
      </w:r>
      <w:r>
        <w:rPr>
          <w:rFonts w:hint="eastAsia"/>
          <w:lang w:val="en-US" w:eastAsia="zh-CN"/>
        </w:rPr>
        <w:t xml:space="preserve">                 </w:t>
      </w:r>
      <w:r>
        <w:rPr>
          <w:rFonts w:hint="eastAsia"/>
        </w:rPr>
        <w:t>）的资产（以下简称标的资产，具体详见附件一）；</w:t>
      </w:r>
    </w:p>
    <w:p>
      <w:pPr>
        <w:spacing w:line="360" w:lineRule="auto"/>
        <w:ind w:firstLine="480" w:firstLineChars="200"/>
      </w:pPr>
      <w:r>
        <w:rPr>
          <w:rFonts w:hint="eastAsia"/>
        </w:rPr>
        <w:t>委托方拟委托受托方或其指定服务机构在阿里拍卖平台通过网络竞价方式处置其标的资产。</w:t>
      </w:r>
    </w:p>
    <w:p>
      <w:pPr>
        <w:spacing w:line="360" w:lineRule="auto"/>
        <w:ind w:left="1323" w:leftChars="250" w:hanging="723" w:hangingChars="300"/>
        <w:rPr>
          <w:b/>
          <w:bCs/>
        </w:rPr>
      </w:pPr>
    </w:p>
    <w:p>
      <w:pPr>
        <w:spacing w:line="360" w:lineRule="auto"/>
        <w:ind w:firstLine="480" w:firstLineChars="200"/>
      </w:pPr>
      <w:r>
        <w:rPr>
          <w:rFonts w:hint="eastAsia"/>
        </w:rPr>
        <w:t>有鉴于此，现委托方出具本授权委托书，授权受托方在阿里拍卖平台通过网络竞价方式处置其标的资产，具体内容如下：</w:t>
      </w:r>
    </w:p>
    <w:p>
      <w:pPr>
        <w:spacing w:line="360" w:lineRule="auto"/>
        <w:rPr>
          <w:b/>
          <w:bCs/>
        </w:rPr>
      </w:pPr>
    </w:p>
    <w:p>
      <w:pPr>
        <w:spacing w:line="360" w:lineRule="auto"/>
        <w:rPr>
          <w:b/>
          <w:bCs/>
        </w:rPr>
      </w:pPr>
      <w:r>
        <w:rPr>
          <w:rFonts w:hint="eastAsia"/>
          <w:b/>
          <w:bCs/>
        </w:rPr>
        <w:t>一、委托内容</w:t>
      </w:r>
    </w:p>
    <w:p>
      <w:pPr>
        <w:spacing w:line="360" w:lineRule="auto"/>
        <w:ind w:left="480" w:hanging="480" w:hangingChars="200"/>
      </w:pPr>
      <w:r>
        <w:rPr>
          <w:rFonts w:hint="eastAsia"/>
        </w:rPr>
        <w:t>1.1</w:t>
      </w:r>
      <w:r>
        <w:t xml:space="preserve"> </w:t>
      </w:r>
      <w:r>
        <w:rPr>
          <w:rFonts w:hint="eastAsia"/>
        </w:rPr>
        <w:t>委托方委托受托方统一在阿里拍卖平台通过网络竞价方式处置其标的资产，受托方可选任具备合法资质的服务机构通过阿里拍卖平台公开发布资产标的，并以网络竞价方式转让该资产标的给最高应价者。</w:t>
      </w:r>
    </w:p>
    <w:p>
      <w:pPr>
        <w:spacing w:line="360" w:lineRule="auto"/>
        <w:ind w:left="480" w:hanging="480" w:hangingChars="200"/>
      </w:pPr>
      <w:r>
        <w:rPr>
          <w:rFonts w:hint="eastAsia"/>
        </w:rPr>
        <w:t>1</w:t>
      </w:r>
      <w:r>
        <w:t>.2</w:t>
      </w:r>
      <w:r>
        <w:rPr>
          <w:rFonts w:hint="eastAsia"/>
        </w:rPr>
        <w:t>委托方同意自主确定待处置资产的起拍价、加价幅度、保证金数额、税费承担及竞价时间等。前述信息需符合相关法律规定及阿里拍卖平台管理规范要求。</w:t>
      </w:r>
    </w:p>
    <w:p>
      <w:pPr>
        <w:spacing w:line="360" w:lineRule="auto"/>
        <w:ind w:left="480" w:hanging="480" w:hangingChars="200"/>
        <w:rPr>
          <w:rFonts w:hint="eastAsia"/>
        </w:rPr>
      </w:pPr>
      <w:r>
        <w:t>1.3</w:t>
      </w:r>
      <w:r>
        <w:rPr>
          <w:rFonts w:hint="eastAsia"/>
        </w:rPr>
        <w:t>委托方同意并确认：标的资产竞价成交款优先支付</w:t>
      </w:r>
      <w:r>
        <w:rPr>
          <w:rFonts w:hint="eastAsia"/>
          <w:lang w:val="en-US" w:eastAsia="zh-CN"/>
        </w:rPr>
        <w:t>上拍机构</w:t>
      </w:r>
      <w:r>
        <w:rPr>
          <w:rFonts w:hint="eastAsia"/>
        </w:rPr>
        <w:t>要求的指定账户</w:t>
      </w:r>
    </w:p>
    <w:p>
      <w:pPr>
        <w:spacing w:line="360" w:lineRule="auto"/>
      </w:pPr>
      <w:r>
        <w:rPr>
          <w:rFonts w:hint="eastAsia"/>
        </w:rPr>
        <w:t>（户名：【</w:t>
      </w:r>
      <w:r>
        <w:rPr>
          <w:rFonts w:hint="eastAsia"/>
          <w:lang w:val="en-US" w:eastAsia="zh-CN"/>
        </w:rPr>
        <w:t>深圳市淘小拍信息咨询服务有限公司</w:t>
      </w:r>
      <w:r>
        <w:rPr>
          <w:rFonts w:hint="eastAsia"/>
        </w:rPr>
        <w:t>】；开户行：【</w:t>
      </w:r>
      <w:r>
        <w:rPr>
          <w:rFonts w:hint="eastAsia"/>
          <w:lang w:val="en-US" w:eastAsia="zh-CN"/>
        </w:rPr>
        <w:t>中国建设银行股份有限公司深圳嘉宾路支行</w:t>
      </w:r>
      <w:r>
        <w:rPr>
          <w:rFonts w:hint="eastAsia"/>
        </w:rPr>
        <w:t>】；</w:t>
      </w:r>
      <w:r>
        <w:t xml:space="preserve"> </w:t>
      </w:r>
      <w:r>
        <w:rPr>
          <w:rFonts w:hint="eastAsia"/>
        </w:rPr>
        <w:t>账号：【</w:t>
      </w:r>
      <w:r>
        <w:rPr>
          <w:rFonts w:hint="eastAsia"/>
          <w:lang w:val="en-US" w:eastAsia="zh-CN"/>
        </w:rPr>
        <w:t>4425 0100 0028 0988 7688</w:t>
      </w:r>
      <w:r>
        <w:rPr>
          <w:rFonts w:hint="eastAsia"/>
        </w:rPr>
        <w:t>】）。</w:t>
      </w:r>
    </w:p>
    <w:p>
      <w:pPr>
        <w:spacing w:line="360" w:lineRule="auto"/>
        <w:ind w:left="480" w:hanging="480" w:hangingChars="200"/>
      </w:pPr>
      <w:r>
        <w:rPr>
          <w:rFonts w:hint="eastAsia"/>
        </w:rPr>
        <w:t>1</w:t>
      </w:r>
      <w:r>
        <w:t>.4</w:t>
      </w:r>
      <w:r>
        <w:rPr>
          <w:rFonts w:hint="eastAsia"/>
        </w:rPr>
        <w:t>委托方同意并确认：竞价成交后，阿里拍卖平台系统会生成一笔待支付的软件服务费订单，若买受人未在缴纳期限内完成软件服务费支付的，买受人的保证金将被继续冻结直至软件服务费支付完毕，由此产生的相应后果及责任（包括延迟交割标的物、成交价款未在约定期限内完成转移等）由买受人自行承担，委托方不会因此追究受托方、阿里拍卖平台及服务机构的责任。竞价成交后买受人悔拍的，保证金由阿里拍卖平台从中扣除买受人应支付的软件服务费后作为买受人违约金按本委托书1</w:t>
      </w:r>
      <w:r>
        <w:t>.3</w:t>
      </w:r>
      <w:r>
        <w:rPr>
          <w:rFonts w:hint="eastAsia"/>
        </w:rPr>
        <w:t>条约定进行支付。</w:t>
      </w:r>
    </w:p>
    <w:p>
      <w:pPr>
        <w:spacing w:line="360" w:lineRule="auto"/>
        <w:ind w:left="480" w:hanging="480" w:hangingChars="200"/>
      </w:pPr>
      <w:r>
        <w:rPr>
          <w:rFonts w:hint="eastAsia"/>
        </w:rPr>
        <w:t>1</w:t>
      </w:r>
      <w:r>
        <w:t xml:space="preserve">.5 </w:t>
      </w:r>
      <w:r>
        <w:rPr>
          <w:rFonts w:hint="eastAsia"/>
        </w:rPr>
        <w:t>委托期限：本授权委托书出具之日起至指定资产在阿里拍卖平台竞价成交之日或</w:t>
      </w:r>
      <w:r>
        <w:fldChar w:fldCharType="begin">
          <w:ffData>
            <w:name w:val="文字12"/>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rPr>
          <w:rFonts w:hint="eastAsia"/>
          <w:lang w:val="en-US" w:eastAsia="zh-CN"/>
        </w:rPr>
        <w:t>2022</w:t>
      </w:r>
      <w:r>
        <w:t>   </w:t>
      </w:r>
      <w:r>
        <w:fldChar w:fldCharType="end"/>
      </w:r>
      <w:r>
        <w:t>年</w:t>
      </w:r>
      <w:r>
        <w:fldChar w:fldCharType="begin">
          <w:ffData>
            <w:name w:val="文字13"/>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rPr>
          <w:rFonts w:hint="eastAsia"/>
          <w:lang w:val="en-US" w:eastAsia="zh-CN"/>
        </w:rPr>
        <w:t>12</w:t>
      </w:r>
      <w:r>
        <w:t> </w:t>
      </w:r>
      <w:r>
        <w:fldChar w:fldCharType="end"/>
      </w:r>
      <w:r>
        <w:t>月</w:t>
      </w:r>
      <w:r>
        <w:fldChar w:fldCharType="begin">
          <w:ffData>
            <w:name w:val="文字14"/>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rPr>
          <w:rFonts w:hint="eastAsia"/>
          <w:lang w:val="en-US" w:eastAsia="zh-CN"/>
        </w:rPr>
        <w:t>31</w:t>
      </w:r>
      <w:r>
        <w:t> </w:t>
      </w:r>
      <w:r>
        <w:fldChar w:fldCharType="end"/>
      </w:r>
      <w:r>
        <w:t>日</w:t>
      </w:r>
      <w:r>
        <w:rPr>
          <w:rFonts w:hint="eastAsia"/>
        </w:rPr>
        <w:t>止（以较晚者为准）。</w:t>
      </w:r>
    </w:p>
    <w:p>
      <w:pPr>
        <w:spacing w:line="360" w:lineRule="auto"/>
        <w:ind w:left="480" w:hanging="480" w:hangingChars="200"/>
      </w:pPr>
    </w:p>
    <w:p>
      <w:pPr>
        <w:spacing w:line="360" w:lineRule="auto"/>
        <w:ind w:left="482" w:hanging="482" w:hangingChars="200"/>
        <w:rPr>
          <w:b/>
          <w:bCs/>
        </w:rPr>
      </w:pPr>
      <w:r>
        <w:rPr>
          <w:rFonts w:hint="eastAsia"/>
          <w:b/>
          <w:bCs/>
        </w:rPr>
        <w:t>二、委托费用</w:t>
      </w:r>
    </w:p>
    <w:p>
      <w:pPr>
        <w:spacing w:line="360" w:lineRule="auto"/>
        <w:ind w:left="480" w:hanging="480" w:hangingChars="200"/>
      </w:pPr>
      <w:r>
        <w:t>2.1 为促进</w:t>
      </w:r>
      <w:r>
        <w:rPr>
          <w:rFonts w:hint="eastAsia"/>
        </w:rPr>
        <w:t>委托方</w:t>
      </w:r>
      <w:r>
        <w:t>与竞买人达成交易，</w:t>
      </w:r>
      <w:r>
        <w:rPr>
          <w:rFonts w:hint="eastAsia"/>
        </w:rPr>
        <w:t>受托方</w:t>
      </w:r>
      <w:r>
        <w:t>自行或委托服务机构提供了【咨询、协助交割】等网络竞价处置服务。</w:t>
      </w:r>
      <w:r>
        <w:rPr>
          <w:rFonts w:hint="eastAsia"/>
        </w:rPr>
        <w:t>受托方</w:t>
      </w:r>
      <w:r>
        <w:t>有权就前述服务向买受人收取服务费</w:t>
      </w:r>
      <w:r>
        <w:rPr>
          <w:rFonts w:hint="eastAsia"/>
          <w:lang w:val="en-US" w:eastAsia="zh-CN"/>
        </w:rPr>
        <w:t>/佣金</w:t>
      </w:r>
      <w:r>
        <w:t>：如相应委托项目标的竞价成功的（以阿里拍卖平台系统成交为准），买受人应于该标的竞价成功后【</w:t>
      </w:r>
      <w:r>
        <w:rPr>
          <w:rFonts w:hint="eastAsia"/>
          <w:lang w:val="en-US" w:eastAsia="zh-CN"/>
        </w:rPr>
        <w:t>15</w:t>
      </w:r>
      <w:r>
        <w:t>】日内按照成交价的【</w:t>
      </w:r>
      <w:r>
        <w:rPr>
          <w:rFonts w:hint="eastAsia"/>
          <w:lang w:val="en-US" w:eastAsia="zh-CN"/>
        </w:rPr>
        <w:t>1%</w:t>
      </w:r>
      <w:r>
        <w:t>】（含税价）向</w:t>
      </w:r>
      <w:r>
        <w:rPr>
          <w:rFonts w:hint="eastAsia"/>
        </w:rPr>
        <w:t>受托方</w:t>
      </w:r>
      <w:r>
        <w:t>支付服务费。</w:t>
      </w:r>
      <w:r>
        <w:rPr>
          <w:rFonts w:hint="eastAsia"/>
        </w:rPr>
        <w:t>委托方</w:t>
      </w:r>
      <w:r>
        <w:t>同意就该服务费的支付承担督促责任：1）</w:t>
      </w:r>
      <w:r>
        <w:rPr>
          <w:rFonts w:hint="eastAsia"/>
        </w:rPr>
        <w:t>委托方</w:t>
      </w:r>
      <w:r>
        <w:t>须待买受人完成服务费支付后再行办理资产交割手续；2）</w:t>
      </w:r>
      <w:r>
        <w:rPr>
          <w:rFonts w:hint="eastAsia"/>
        </w:rPr>
        <w:t>委托方</w:t>
      </w:r>
      <w:r>
        <w:t>应在竞买公告或竞买须知中明确规定</w:t>
      </w:r>
      <w:r>
        <w:rPr>
          <w:rFonts w:hint="eastAsia"/>
        </w:rPr>
        <w:t>受托方</w:t>
      </w:r>
      <w:r>
        <w:t>作为本项目的辅助服务商及买受人应于该标的竞价成功后【</w:t>
      </w:r>
      <w:r>
        <w:rPr>
          <w:rFonts w:hint="eastAsia"/>
          <w:lang w:val="en-US" w:eastAsia="zh-CN"/>
        </w:rPr>
        <w:t>15</w:t>
      </w:r>
      <w:r>
        <w:t>】日内按照成交价的【</w:t>
      </w:r>
      <w:r>
        <w:rPr>
          <w:rFonts w:hint="eastAsia"/>
          <w:lang w:val="en-US" w:eastAsia="zh-CN"/>
        </w:rPr>
        <w:t>1</w:t>
      </w:r>
      <w:r>
        <w:t>%】向</w:t>
      </w:r>
      <w:r>
        <w:rPr>
          <w:rFonts w:hint="eastAsia"/>
        </w:rPr>
        <w:t>受托方</w:t>
      </w:r>
      <w:r>
        <w:t>支付服务费，并以显著方式提醒竞买人注意及告知未按规定支付的后果，如延期交割、逾期违约金等。</w:t>
      </w:r>
      <w:r>
        <w:rPr>
          <w:rFonts w:hint="eastAsia"/>
        </w:rPr>
        <w:t>委托</w:t>
      </w:r>
      <w:r>
        <w:t>方应自行负责因履行督促义务产生的所有争议及纠纷，且不会因此追究</w:t>
      </w:r>
      <w:r>
        <w:rPr>
          <w:rFonts w:hint="eastAsia"/>
        </w:rPr>
        <w:t>受托方</w:t>
      </w:r>
      <w:r>
        <w:t>、阿里拍卖平台及服务机构的责任。如</w:t>
      </w:r>
      <w:r>
        <w:rPr>
          <w:rFonts w:hint="eastAsia"/>
        </w:rPr>
        <w:t>委托方</w:t>
      </w:r>
      <w:r>
        <w:t>未按上述约定履行督促义务造成</w:t>
      </w:r>
      <w:r>
        <w:rPr>
          <w:rFonts w:hint="eastAsia"/>
        </w:rPr>
        <w:t>受托方</w:t>
      </w:r>
      <w:r>
        <w:t>无法向买受人收取费用的，</w:t>
      </w:r>
      <w:r>
        <w:rPr>
          <w:rFonts w:hint="eastAsia"/>
        </w:rPr>
        <w:t>受托方</w:t>
      </w:r>
      <w:r>
        <w:t>有权要求</w:t>
      </w:r>
      <w:r>
        <w:rPr>
          <w:rFonts w:hint="eastAsia"/>
        </w:rPr>
        <w:t>委托方</w:t>
      </w:r>
      <w:r>
        <w:t>按照成交价的【</w:t>
      </w:r>
      <w:r>
        <w:rPr>
          <w:rFonts w:hint="eastAsia"/>
          <w:lang w:val="en-US" w:eastAsia="zh-CN"/>
        </w:rPr>
        <w:t>1</w:t>
      </w:r>
      <w:r>
        <w:t>%】向</w:t>
      </w:r>
      <w:r>
        <w:rPr>
          <w:rFonts w:hint="eastAsia"/>
        </w:rPr>
        <w:t>受托方</w:t>
      </w:r>
      <w:r>
        <w:t>支付服务费。</w:t>
      </w:r>
    </w:p>
    <w:p>
      <w:pPr>
        <w:spacing w:line="360" w:lineRule="auto"/>
        <w:ind w:left="480" w:hanging="480" w:hangingChars="200"/>
      </w:pPr>
      <w:r>
        <w:t xml:space="preserve">2.2 </w:t>
      </w:r>
      <w:r>
        <w:rPr>
          <w:rFonts w:hint="eastAsia"/>
        </w:rPr>
        <w:t>受托方</w:t>
      </w:r>
      <w:r>
        <w:t>就履行本协议进行了相应服务安排及资源预留，并为此付出了对应的人员及财产安排成本，若</w:t>
      </w:r>
      <w:r>
        <w:rPr>
          <w:rFonts w:hint="eastAsia"/>
        </w:rPr>
        <w:t>委托方</w:t>
      </w:r>
      <w:r>
        <w:t>未经</w:t>
      </w:r>
      <w:r>
        <w:rPr>
          <w:rFonts w:hint="eastAsia"/>
        </w:rPr>
        <w:t>受托方</w:t>
      </w:r>
      <w:r>
        <w:t>同意选择暂停、中止或终止处置或服务的，则</w:t>
      </w:r>
      <w:r>
        <w:rPr>
          <w:rFonts w:hint="eastAsia"/>
        </w:rPr>
        <w:t>委托方</w:t>
      </w:r>
      <w:r>
        <w:t>应按照成交价（未起拍的，按照起拍价或者评估价，以孰高为准）的【</w:t>
      </w:r>
      <w:r>
        <w:rPr>
          <w:rFonts w:hint="eastAsia"/>
          <w:lang w:val="en-US" w:eastAsia="zh-CN"/>
        </w:rPr>
        <w:t>1</w:t>
      </w:r>
      <w:r>
        <w:t>%】向</w:t>
      </w:r>
      <w:r>
        <w:rPr>
          <w:rFonts w:hint="eastAsia"/>
        </w:rPr>
        <w:t>受托方</w:t>
      </w:r>
      <w:r>
        <w:t>支付违约金。</w:t>
      </w:r>
    </w:p>
    <w:p>
      <w:pPr>
        <w:spacing w:line="360" w:lineRule="auto"/>
        <w:ind w:left="480" w:leftChars="200" w:firstLine="0" w:firstLineChars="0"/>
      </w:pPr>
      <w:r>
        <w:rPr>
          <w:rFonts w:hint="eastAsia"/>
          <w:lang w:val="en-US" w:eastAsia="zh-CN"/>
        </w:rPr>
        <w:t>受托</w:t>
      </w:r>
      <w:r>
        <w:rPr>
          <w:rFonts w:hint="eastAsia"/>
        </w:rPr>
        <w:t>方是</w:t>
      </w:r>
      <w:r>
        <w:rPr>
          <w:rFonts w:hint="eastAsia"/>
          <w:lang w:val="en-US" w:eastAsia="zh-CN"/>
        </w:rPr>
        <w:t>委托</w:t>
      </w:r>
      <w:r>
        <w:rPr>
          <w:rFonts w:hint="eastAsia"/>
        </w:rPr>
        <w:t>方的独家合作机构。无论</w:t>
      </w:r>
      <w:r>
        <w:rPr>
          <w:rFonts w:hint="eastAsia"/>
          <w:lang w:val="en-US" w:eastAsia="zh-CN"/>
        </w:rPr>
        <w:t>委托</w:t>
      </w:r>
      <w:r>
        <w:rPr>
          <w:rFonts w:hint="eastAsia"/>
        </w:rPr>
        <w:t>方在洽谈客户的过程中是否利用了</w:t>
      </w:r>
      <w:r>
        <w:rPr>
          <w:rFonts w:hint="eastAsia"/>
          <w:lang w:val="en-US" w:eastAsia="zh-CN"/>
        </w:rPr>
        <w:t>受托</w:t>
      </w:r>
      <w:r>
        <w:rPr>
          <w:rFonts w:hint="eastAsia"/>
        </w:rPr>
        <w:t>方提供的市场营销服务，均不得自行或与其他中介机构、拍卖平台合作的方式，为客户提供网络资产处置相关服务。否则，甲方有权解除合同，请求</w:t>
      </w:r>
      <w:r>
        <w:rPr>
          <w:rFonts w:hint="eastAsia"/>
          <w:lang w:val="en-US" w:eastAsia="zh-CN"/>
        </w:rPr>
        <w:t>委托方</w:t>
      </w:r>
      <w:r>
        <w:rPr>
          <w:rFonts w:hint="eastAsia"/>
        </w:rPr>
        <w:t>方赔偿</w:t>
      </w:r>
      <w:r>
        <w:rPr>
          <w:rFonts w:hint="eastAsia"/>
          <w:lang w:val="en-US" w:eastAsia="zh-CN"/>
        </w:rPr>
        <w:t>受托</w:t>
      </w:r>
      <w:r>
        <w:rPr>
          <w:rFonts w:hint="eastAsia"/>
        </w:rPr>
        <w:t>方支出的市场营销费用。</w:t>
      </w:r>
      <w:r>
        <w:rPr>
          <w:rFonts w:hint="eastAsia"/>
          <w:lang w:val="en-US" w:eastAsia="zh-CN"/>
        </w:rPr>
        <w:t>委托</w:t>
      </w:r>
      <w:r>
        <w:rPr>
          <w:rFonts w:hint="eastAsia"/>
        </w:rPr>
        <w:t>方因此取得收益，作为违约收益，返还给甲方。</w:t>
      </w:r>
      <w:bookmarkStart w:id="5" w:name="_GoBack"/>
      <w:bookmarkEnd w:id="5"/>
    </w:p>
    <w:p>
      <w:pPr>
        <w:spacing w:line="360" w:lineRule="auto"/>
        <w:ind w:left="480" w:hanging="480" w:hangingChars="200"/>
      </w:pPr>
      <w:r>
        <w:t>2.3为避免疑义，若竞价成交后发生因买受人原因导致成交不买、交割失败等情形的，</w:t>
      </w:r>
      <w:r>
        <w:rPr>
          <w:rFonts w:hint="eastAsia"/>
        </w:rPr>
        <w:t>委托方</w:t>
      </w:r>
      <w:r>
        <w:t>如依约收取买受人的违约金的，</w:t>
      </w:r>
      <w:r>
        <w:rPr>
          <w:rFonts w:hint="eastAsia"/>
        </w:rPr>
        <w:t>委托方</w:t>
      </w:r>
      <w:r>
        <w:t>应在违约金的范围内按成交价的【</w:t>
      </w:r>
      <w:r>
        <w:rPr>
          <w:rFonts w:hint="eastAsia"/>
          <w:lang w:val="en-US" w:eastAsia="zh-CN"/>
        </w:rPr>
        <w:t>1</w:t>
      </w:r>
      <w:r>
        <w:t>】%向</w:t>
      </w:r>
      <w:r>
        <w:rPr>
          <w:rFonts w:hint="eastAsia"/>
        </w:rPr>
        <w:t>受托方</w:t>
      </w:r>
      <w:r>
        <w:t>支付服务费用。若竞价成交后因</w:t>
      </w:r>
      <w:r>
        <w:rPr>
          <w:rFonts w:hint="eastAsia"/>
        </w:rPr>
        <w:t>委托方</w:t>
      </w:r>
      <w:r>
        <w:t>的原因导致成交不卖、交割失败等情形的，</w:t>
      </w:r>
      <w:r>
        <w:rPr>
          <w:rFonts w:hint="eastAsia"/>
        </w:rPr>
        <w:t>委托方</w:t>
      </w:r>
      <w:r>
        <w:t>全权负责处理与买受人之间的争议纠纷，除</w:t>
      </w:r>
      <w:r>
        <w:rPr>
          <w:rFonts w:hint="eastAsia"/>
        </w:rPr>
        <w:t>委托方</w:t>
      </w:r>
      <w:r>
        <w:t>与买受人另有约定外，</w:t>
      </w:r>
      <w:r>
        <w:rPr>
          <w:rFonts w:hint="eastAsia"/>
        </w:rPr>
        <w:t>委托方</w:t>
      </w:r>
      <w:r>
        <w:t>应将成交价款退还至买受人</w:t>
      </w:r>
      <w:r>
        <w:rPr>
          <w:rFonts w:hint="eastAsia"/>
        </w:rPr>
        <w:t>；</w:t>
      </w:r>
      <w:r>
        <w:t>且</w:t>
      </w:r>
      <w:r>
        <w:rPr>
          <w:rFonts w:hint="eastAsia"/>
        </w:rPr>
        <w:t>委托方</w:t>
      </w:r>
      <w:r>
        <w:t>仍应按照成交价的【</w:t>
      </w:r>
      <w:r>
        <w:rPr>
          <w:rFonts w:hint="eastAsia"/>
          <w:lang w:val="en-US" w:eastAsia="zh-CN"/>
        </w:rPr>
        <w:t>1</w:t>
      </w:r>
      <w:r>
        <w:t>】%向</w:t>
      </w:r>
      <w:r>
        <w:rPr>
          <w:rFonts w:hint="eastAsia"/>
        </w:rPr>
        <w:t>受托方</w:t>
      </w:r>
      <w:r>
        <w:t>支付服务费，但因</w:t>
      </w:r>
      <w:r>
        <w:rPr>
          <w:rFonts w:hint="eastAsia"/>
        </w:rPr>
        <w:t>受托方</w:t>
      </w:r>
      <w:r>
        <w:t>过错导致的除外。</w:t>
      </w:r>
    </w:p>
    <w:p>
      <w:pPr>
        <w:spacing w:line="360" w:lineRule="auto"/>
        <w:ind w:left="480" w:hanging="480" w:hangingChars="200"/>
        <w:rPr>
          <w:rFonts w:hint="eastAsia"/>
        </w:rPr>
      </w:pPr>
      <w:r>
        <w:t>2.</w:t>
      </w:r>
      <w:r>
        <w:rPr>
          <w:rFonts w:hint="eastAsia"/>
          <w:lang w:val="en-US" w:eastAsia="zh-CN"/>
        </w:rPr>
        <w:t>4</w:t>
      </w:r>
      <w:r>
        <w:t xml:space="preserve"> </w:t>
      </w:r>
      <w:r>
        <w:rPr>
          <w:rFonts w:hint="eastAsia"/>
        </w:rPr>
        <w:t>受托方</w:t>
      </w:r>
      <w:r>
        <w:t>指定收款账户信息</w:t>
      </w:r>
      <w:r>
        <w:rPr>
          <w:rFonts w:hint="eastAsia"/>
        </w:rPr>
        <w:t>（</w:t>
      </w:r>
      <w:r>
        <w:t>开户行：</w:t>
      </w:r>
      <w:r>
        <w:rPr>
          <w:rFonts w:hint="eastAsia"/>
        </w:rPr>
        <w:t>【</w:t>
      </w:r>
      <w:r>
        <w:rPr>
          <w:rFonts w:hint="eastAsia"/>
          <w:lang w:val="en-US" w:eastAsia="zh-CN"/>
        </w:rPr>
        <w:t>中国建设银行股份有限公司深圳嘉宾路支行</w:t>
      </w:r>
      <w:r>
        <w:rPr>
          <w:rFonts w:hint="eastAsia"/>
        </w:rPr>
        <w:t>】；</w:t>
      </w:r>
    </w:p>
    <w:p>
      <w:pPr>
        <w:spacing w:line="360" w:lineRule="auto"/>
        <w:ind w:left="480" w:hanging="480" w:hangingChars="200"/>
      </w:pPr>
      <w:r>
        <w:t>户名：</w:t>
      </w:r>
      <w:r>
        <w:rPr>
          <w:rFonts w:hint="eastAsia"/>
        </w:rPr>
        <w:t>【</w:t>
      </w:r>
      <w:r>
        <w:rPr>
          <w:rFonts w:hint="eastAsia"/>
          <w:lang w:val="en-US" w:eastAsia="zh-CN"/>
        </w:rPr>
        <w:t>深圳市淘小拍信息咨询服务有限公司</w:t>
      </w:r>
      <w:r>
        <w:rPr>
          <w:rFonts w:hint="eastAsia"/>
        </w:rPr>
        <w:t>】；</w:t>
      </w:r>
      <w:r>
        <w:t>账号：</w:t>
      </w:r>
      <w:r>
        <w:rPr>
          <w:rFonts w:hint="eastAsia"/>
        </w:rPr>
        <w:t>【</w:t>
      </w:r>
      <w:r>
        <w:rPr>
          <w:rFonts w:hint="eastAsia"/>
          <w:lang w:val="en-US" w:eastAsia="zh-CN"/>
        </w:rPr>
        <w:t>4425 0100 0028 0988 7688</w:t>
      </w:r>
      <w:r>
        <w:rPr>
          <w:rFonts w:hint="eastAsia"/>
        </w:rPr>
        <w:t>】）</w:t>
      </w:r>
    </w:p>
    <w:p>
      <w:pPr>
        <w:spacing w:line="360" w:lineRule="auto"/>
        <w:ind w:left="480" w:hanging="480" w:hangingChars="200"/>
        <w:rPr>
          <w:rFonts w:hint="default" w:eastAsia="宋体"/>
          <w:lang w:val="en-US" w:eastAsia="zh-CN"/>
        </w:rPr>
      </w:pPr>
    </w:p>
    <w:p>
      <w:pPr>
        <w:spacing w:line="360" w:lineRule="auto"/>
        <w:rPr>
          <w:b/>
          <w:bCs/>
        </w:rPr>
      </w:pPr>
      <w:r>
        <w:rPr>
          <w:rFonts w:hint="eastAsia"/>
          <w:b/>
          <w:bCs/>
        </w:rPr>
        <w:t>三、其他</w:t>
      </w:r>
    </w:p>
    <w:p>
      <w:pPr>
        <w:spacing w:line="360" w:lineRule="auto"/>
        <w:ind w:left="480" w:hanging="480" w:hangingChars="200"/>
      </w:pPr>
      <w:r>
        <w:t>3.1</w:t>
      </w:r>
      <w:r>
        <w:rPr>
          <w:rFonts w:hint="eastAsia"/>
        </w:rPr>
        <w:t>委托方知悉并确认：本委托方已详细阅读本授权委托书附件二《委托网络竞价处置流程与须知事宜》，且对此无任何疑问与异议，自愿签署并遵守本授权委托书及相关附件约定，履行相关义务。</w:t>
      </w:r>
    </w:p>
    <w:p>
      <w:pPr>
        <w:spacing w:line="360" w:lineRule="auto"/>
        <w:ind w:left="480" w:hanging="480" w:hangingChars="200"/>
      </w:pPr>
      <w:r>
        <w:t>3.2本</w:t>
      </w:r>
      <w:r>
        <w:rPr>
          <w:rFonts w:hint="eastAsia"/>
        </w:rPr>
        <w:t>授权委托书</w:t>
      </w:r>
      <w:r>
        <w:t>附件为本</w:t>
      </w:r>
      <w:r>
        <w:rPr>
          <w:rFonts w:hint="eastAsia"/>
        </w:rPr>
        <w:t>授权委托书</w:t>
      </w:r>
      <w:r>
        <w:t>的一部分，与本</w:t>
      </w:r>
      <w:r>
        <w:rPr>
          <w:rFonts w:hint="eastAsia"/>
        </w:rPr>
        <w:t>授权委托书</w:t>
      </w:r>
      <w:r>
        <w:t>具有同等法律效力。</w:t>
      </w:r>
    </w:p>
    <w:p>
      <w:pPr>
        <w:spacing w:line="360" w:lineRule="auto"/>
        <w:ind w:left="480" w:hanging="480" w:hangingChars="200"/>
      </w:pPr>
      <w:r>
        <w:t>3.3本</w:t>
      </w:r>
      <w:r>
        <w:rPr>
          <w:rFonts w:hint="eastAsia"/>
        </w:rPr>
        <w:t>授权委托书</w:t>
      </w:r>
      <w:r>
        <w:t>自</w:t>
      </w:r>
      <w:r>
        <w:rPr>
          <w:rFonts w:hint="eastAsia"/>
        </w:rPr>
        <w:t>委托方</w:t>
      </w:r>
      <w:r>
        <w:t>加盖公章之日起生效【本</w:t>
      </w:r>
      <w:r>
        <w:rPr>
          <w:rFonts w:hint="eastAsia"/>
        </w:rPr>
        <w:t>授权委托书</w:t>
      </w:r>
      <w:r>
        <w:t>自</w:t>
      </w:r>
      <w:r>
        <w:rPr>
          <w:rFonts w:hint="eastAsia"/>
        </w:rPr>
        <w:t>委托方签字之</w:t>
      </w:r>
      <w:r>
        <w:t>日起生效】，一式贰份，双方各执壹份原件，每份原件具有同等法律效力。</w:t>
      </w:r>
    </w:p>
    <w:p>
      <w:pPr>
        <w:spacing w:line="360" w:lineRule="auto"/>
        <w:jc w:val="right"/>
      </w:pPr>
      <w:r>
        <w:rPr>
          <w:rFonts w:hint="eastAsia"/>
        </w:rPr>
        <w:t xml:space="preserve">委托方: </w:t>
      </w:r>
      <w:r>
        <w:fldChar w:fldCharType="begin">
          <w:ffData>
            <w:name w:val="文字20"/>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 xml:space="preserve">                                </w:t>
      </w:r>
    </w:p>
    <w:p>
      <w:pPr>
        <w:spacing w:line="360" w:lineRule="auto"/>
        <w:jc w:val="right"/>
      </w:pPr>
      <w:r>
        <w:rPr>
          <w:rFonts w:hint="eastAsia"/>
        </w:rPr>
        <w:t xml:space="preserve">（盖章/签字）  </w:t>
      </w:r>
    </w:p>
    <w:p>
      <w:pPr>
        <w:spacing w:line="360" w:lineRule="auto"/>
        <w:jc w:val="right"/>
      </w:pPr>
      <w:r>
        <w:rPr>
          <w:rFonts w:hint="eastAsia"/>
        </w:rPr>
        <w:t xml:space="preserve">                           </w:t>
      </w:r>
    </w:p>
    <w:p>
      <w:pPr>
        <w:spacing w:line="360" w:lineRule="auto"/>
        <w:jc w:val="right"/>
      </w:pPr>
      <w:r>
        <w:rPr>
          <w:rFonts w:hint="eastAsia"/>
        </w:rPr>
        <w:t>日 期：</w:t>
      </w:r>
      <w:r>
        <w:fldChar w:fldCharType="begin">
          <w:ffData>
            <w:name w:val="文字28"/>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年</w:t>
      </w:r>
      <w:r>
        <w:fldChar w:fldCharType="begin">
          <w:ffData>
            <w:name w:val="文字27"/>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月</w:t>
      </w:r>
      <w:r>
        <w:fldChar w:fldCharType="begin">
          <w:ffData>
            <w:name w:val="文字27"/>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 xml:space="preserve">日                    </w:t>
      </w:r>
    </w:p>
    <w:p>
      <w:pPr>
        <w:spacing w:line="360" w:lineRule="auto"/>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r>
        <w:rPr>
          <w:rFonts w:hint="eastAsia"/>
        </w:rPr>
        <w:t>附件一：委托处置标的资产清单</w:t>
      </w:r>
    </w:p>
    <w:tbl>
      <w:tblPr>
        <w:tblStyle w:val="11"/>
        <w:tblW w:w="8670" w:type="dxa"/>
        <w:tblInd w:w="128"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2416"/>
        <w:gridCol w:w="2835"/>
        <w:gridCol w:w="1843"/>
        <w:gridCol w:w="157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09" w:hRule="atLeast"/>
        </w:trPr>
        <w:tc>
          <w:tcPr>
            <w:tcW w:w="0" w:type="auto"/>
            <w:gridSpan w:val="4"/>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jc w:val="center"/>
              <w:rPr>
                <w:color w:val="404040"/>
                <w:spacing w:val="2"/>
              </w:rPr>
            </w:pPr>
            <w:r>
              <w:rPr>
                <w:rFonts w:hint="eastAsia"/>
                <w:b/>
                <w:bCs/>
                <w:color w:val="404040"/>
                <w:spacing w:val="2"/>
              </w:rPr>
              <w:t>委托处置标的资产清单</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0" w:hRule="atLeast"/>
        </w:trPr>
        <w:tc>
          <w:tcPr>
            <w:tcW w:w="0" w:type="auto"/>
            <w:gridSpan w:val="4"/>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jc w:val="center"/>
              <w:rPr>
                <w:color w:val="404040"/>
                <w:spacing w:val="2"/>
              </w:rPr>
            </w:pPr>
            <w:r>
              <w:rPr>
                <w:rFonts w:hint="eastAsia"/>
                <w:b/>
                <w:bCs/>
                <w:color w:val="404040"/>
                <w:spacing w:val="2"/>
              </w:rPr>
              <w:t>资产一</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资产</w:t>
            </w:r>
            <w:r>
              <w:rPr>
                <w:color w:val="404040"/>
                <w:spacing w:val="2"/>
              </w:rPr>
              <w:t>名称</w:t>
            </w:r>
          </w:p>
          <w:p>
            <w:pPr>
              <w:rPr>
                <w:color w:val="404040"/>
                <w:spacing w:val="2"/>
              </w:rPr>
            </w:pPr>
          </w:p>
        </w:tc>
        <w:tc>
          <w:tcPr>
            <w:tcW w:w="2835"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c>
          <w:tcPr>
            <w:tcW w:w="1843"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资产类型</w:t>
            </w:r>
          </w:p>
        </w:tc>
        <w:tc>
          <w:tcPr>
            <w:tcW w:w="157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0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不动产登记证号</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17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权证类型</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17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优先购买权</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i/>
                <w:iCs/>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17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其它权利负担/争议</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17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禁止或者限制转让</w:t>
            </w:r>
            <w:r>
              <w:rPr>
                <w:rFonts w:hint="eastAsia"/>
                <w:color w:val="404040"/>
                <w:spacing w:val="2"/>
              </w:rPr>
              <w:t>情况</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起拍价</w:t>
            </w:r>
          </w:p>
          <w:p>
            <w:pPr>
              <w:rPr>
                <w:color w:val="404040"/>
                <w:spacing w:val="2"/>
              </w:rPr>
            </w:pPr>
          </w:p>
        </w:tc>
        <w:tc>
          <w:tcPr>
            <w:tcW w:w="2835"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c>
          <w:tcPr>
            <w:tcW w:w="1843"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保证金数额</w:t>
            </w:r>
          </w:p>
        </w:tc>
        <w:tc>
          <w:tcPr>
            <w:tcW w:w="157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加价幅度</w:t>
            </w:r>
          </w:p>
        </w:tc>
        <w:tc>
          <w:tcPr>
            <w:tcW w:w="2835"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c>
          <w:tcPr>
            <w:tcW w:w="1843"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竞价时间</w:t>
            </w:r>
          </w:p>
        </w:tc>
        <w:tc>
          <w:tcPr>
            <w:tcW w:w="157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税费承担</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依法承担</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0" w:hRule="atLeast"/>
        </w:trPr>
        <w:tc>
          <w:tcPr>
            <w:tcW w:w="0" w:type="auto"/>
            <w:gridSpan w:val="4"/>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jc w:val="center"/>
              <w:rPr>
                <w:color w:val="404040"/>
                <w:spacing w:val="2"/>
              </w:rPr>
            </w:pPr>
            <w:r>
              <w:rPr>
                <w:rFonts w:hint="eastAsia"/>
                <w:b/>
                <w:bCs/>
                <w:color w:val="404040"/>
                <w:spacing w:val="2"/>
              </w:rPr>
              <w:t>资产二</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资产</w:t>
            </w:r>
            <w:r>
              <w:rPr>
                <w:color w:val="404040"/>
                <w:spacing w:val="2"/>
              </w:rPr>
              <w:t>名称</w:t>
            </w:r>
          </w:p>
          <w:p>
            <w:pPr>
              <w:rPr>
                <w:color w:val="404040"/>
                <w:spacing w:val="2"/>
              </w:rPr>
            </w:pPr>
          </w:p>
        </w:tc>
        <w:tc>
          <w:tcPr>
            <w:tcW w:w="2835"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c>
          <w:tcPr>
            <w:tcW w:w="1843"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资产类型</w:t>
            </w:r>
          </w:p>
        </w:tc>
        <w:tc>
          <w:tcPr>
            <w:tcW w:w="157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0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不动产登记证号</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17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权证类型</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17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优先购买权</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i/>
                <w:iCs/>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17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其它权利负担/争议</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174"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color w:val="404040"/>
                <w:spacing w:val="2"/>
              </w:rPr>
              <w:t>禁止或者限制转让</w:t>
            </w:r>
            <w:r>
              <w:rPr>
                <w:rFonts w:hint="eastAsia"/>
                <w:color w:val="404040"/>
                <w:spacing w:val="2"/>
              </w:rPr>
              <w:t>情况</w:t>
            </w:r>
          </w:p>
        </w:tc>
        <w:tc>
          <w:tcPr>
            <w:tcW w:w="6254" w:type="dxa"/>
            <w:gridSpan w:val="3"/>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起拍价</w:t>
            </w:r>
          </w:p>
          <w:p>
            <w:pPr>
              <w:rPr>
                <w:color w:val="404040"/>
                <w:spacing w:val="2"/>
              </w:rPr>
            </w:pPr>
          </w:p>
        </w:tc>
        <w:tc>
          <w:tcPr>
            <w:tcW w:w="2835"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c>
          <w:tcPr>
            <w:tcW w:w="1843"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保证金数额</w:t>
            </w:r>
          </w:p>
        </w:tc>
        <w:tc>
          <w:tcPr>
            <w:tcW w:w="157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加价幅度</w:t>
            </w:r>
          </w:p>
        </w:tc>
        <w:tc>
          <w:tcPr>
            <w:tcW w:w="2835"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c>
          <w:tcPr>
            <w:tcW w:w="1843"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竞价时间</w:t>
            </w:r>
          </w:p>
        </w:tc>
        <w:tc>
          <w:tcPr>
            <w:tcW w:w="157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241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税费承担</w:t>
            </w:r>
          </w:p>
        </w:tc>
        <w:tc>
          <w:tcPr>
            <w:tcW w:w="2835"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r>
              <w:rPr>
                <w:rFonts w:hint="eastAsia"/>
                <w:color w:val="404040"/>
                <w:spacing w:val="2"/>
              </w:rPr>
              <w:t>依法承担</w:t>
            </w:r>
          </w:p>
        </w:tc>
        <w:tc>
          <w:tcPr>
            <w:tcW w:w="1843"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tcPr>
          <w:p>
            <w:pPr>
              <w:rPr>
                <w:color w:val="404040"/>
                <w:spacing w:val="2"/>
              </w:rPr>
            </w:pPr>
          </w:p>
        </w:tc>
        <w:tc>
          <w:tcPr>
            <w:tcW w:w="1576" w:type="dxa"/>
            <w:tcBorders>
              <w:top w:val="single" w:color="D9D9D9" w:sz="6" w:space="0"/>
              <w:left w:val="single" w:color="D9D9D9" w:sz="6" w:space="0"/>
              <w:bottom w:val="single" w:color="D9D9D9" w:sz="6" w:space="0"/>
              <w:right w:val="single" w:color="D9D9D9" w:sz="6" w:space="0"/>
            </w:tcBorders>
            <w:tcMar>
              <w:top w:w="60" w:type="dxa"/>
              <w:left w:w="120" w:type="dxa"/>
              <w:bottom w:w="60" w:type="dxa"/>
              <w:right w:w="120" w:type="dxa"/>
            </w:tcMar>
            <w:vAlign w:val="center"/>
          </w:tcPr>
          <w:p>
            <w:pPr>
              <w:rPr>
                <w:color w:val="404040"/>
                <w:spacing w:val="2"/>
              </w:rPr>
            </w:pPr>
          </w:p>
        </w:tc>
      </w:tr>
    </w:tbl>
    <w:p>
      <w:pPr>
        <w:spacing w:line="360" w:lineRule="auto"/>
      </w:pPr>
      <w: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201295</wp:posOffset>
                </wp:positionV>
                <wp:extent cx="5914390" cy="0"/>
                <wp:effectExtent l="0" t="0" r="3810" b="12700"/>
                <wp:wrapNone/>
                <wp:docPr id="1" name="直线连接符 1"/>
                <wp:cNvGraphicFramePr/>
                <a:graphic xmlns:a="http://schemas.openxmlformats.org/drawingml/2006/main">
                  <a:graphicData uri="http://schemas.microsoft.com/office/word/2010/wordprocessingShape">
                    <wps:wsp>
                      <wps:cNvCnPr/>
                      <wps:spPr>
                        <a:xfrm>
                          <a:off x="0" y="0"/>
                          <a:ext cx="5914418"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直线连接符 1" o:spid="_x0000_s1026" o:spt="20" style="position:absolute;left:0pt;margin-left:1.1pt;margin-top:15.85pt;height:0pt;width:465.7pt;z-index:251660288;mso-width-relative:page;mso-height-relative:page;" filled="f" stroked="t" coordsize="21600,21600" o:gfxdata="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jf23VAAAABwEAAA8AAAAAAAAAAQAgAAAAIgAAAGRycy9kb3ducmV2&#10;LnhtbFBLAQIUABQAAAAIAIdO4kDHeING/wEAAPcDAAAOAAAAAAAAAAEAIAAAACQBAABkcnMvZTJv&#10;RG9jLnhtbFBLBQYAAAAABgAGAFkBAACVBQAAAAA=&#10;">
                <v:fill on="f" focussize="0,0"/>
                <v:stroke color="#000000 [3200]" joinstyle="round" dashstyle="dash"/>
                <v:imagedata o:title=""/>
                <o:lock v:ext="edit" aspectratio="f"/>
              </v:line>
            </w:pict>
          </mc:Fallback>
        </mc:AlternateContent>
      </w:r>
    </w:p>
    <w:p>
      <w:pPr>
        <w:spacing w:line="360" w:lineRule="auto"/>
        <w:rPr>
          <w:sz w:val="21"/>
          <w:szCs w:val="21"/>
        </w:rPr>
      </w:pPr>
      <w:r>
        <w:rPr>
          <w:rFonts w:hint="eastAsia"/>
          <w:sz w:val="21"/>
          <w:szCs w:val="21"/>
        </w:rPr>
        <w:t>注：</w:t>
      </w:r>
    </w:p>
    <w:p>
      <w:pPr>
        <w:pStyle w:val="30"/>
        <w:numPr>
          <w:ilvl w:val="0"/>
          <w:numId w:val="1"/>
        </w:numPr>
        <w:spacing w:line="360" w:lineRule="auto"/>
        <w:ind w:firstLineChars="0"/>
        <w:rPr>
          <w:sz w:val="21"/>
          <w:szCs w:val="21"/>
        </w:rPr>
      </w:pPr>
      <w:r>
        <w:rPr>
          <w:rFonts w:hint="eastAsia"/>
          <w:sz w:val="21"/>
          <w:szCs w:val="21"/>
        </w:rPr>
        <w:t>关于</w:t>
      </w:r>
      <w:r>
        <w:rPr>
          <w:rFonts w:hint="eastAsia"/>
          <w:b/>
          <w:bCs/>
          <w:sz w:val="21"/>
          <w:szCs w:val="21"/>
        </w:rPr>
        <w:t>起拍价</w:t>
      </w:r>
      <w:r>
        <w:rPr>
          <w:rFonts w:hint="eastAsia"/>
          <w:sz w:val="21"/>
          <w:szCs w:val="21"/>
        </w:rPr>
        <w:t>，可</w:t>
      </w:r>
      <w:r>
        <w:rPr>
          <w:sz w:val="21"/>
          <w:szCs w:val="21"/>
        </w:rPr>
        <w:t>参</w:t>
      </w:r>
      <w:r>
        <w:rPr>
          <w:rFonts w:hint="eastAsia"/>
          <w:sz w:val="21"/>
          <w:szCs w:val="21"/>
        </w:rPr>
        <w:t>考</w:t>
      </w:r>
      <w:r>
        <w:rPr>
          <w:sz w:val="21"/>
          <w:szCs w:val="21"/>
        </w:rPr>
        <w:t>最高人民法院《关于人民法院网络司法拍卖若干问题的规定》（法释〔2016〕18号）的相关规定，起拍价参照评估价，未做评估的，参照市价，不低于评估价或市价的百分之七十；再次拍卖的起拍价竞价幅度不超过前次起拍价的百分之二十。保证金数额在起拍价的百分之五至百分之二十范围内确定。</w:t>
      </w:r>
    </w:p>
    <w:p>
      <w:pPr>
        <w:pStyle w:val="30"/>
        <w:numPr>
          <w:ilvl w:val="0"/>
          <w:numId w:val="1"/>
        </w:numPr>
        <w:spacing w:line="360" w:lineRule="auto"/>
        <w:ind w:firstLineChars="0"/>
        <w:rPr>
          <w:sz w:val="21"/>
          <w:szCs w:val="21"/>
        </w:rPr>
      </w:pPr>
      <w:r>
        <w:rPr>
          <w:sz w:val="21"/>
          <w:szCs w:val="21"/>
        </w:rPr>
        <w:t>关于</w:t>
      </w:r>
      <w:r>
        <w:rPr>
          <w:b/>
          <w:bCs/>
          <w:sz w:val="21"/>
          <w:szCs w:val="21"/>
        </w:rPr>
        <w:t>加价</w:t>
      </w:r>
      <w:r>
        <w:rPr>
          <w:rFonts w:hint="eastAsia"/>
          <w:b/>
          <w:bCs/>
          <w:sz w:val="21"/>
          <w:szCs w:val="21"/>
        </w:rPr>
        <w:t>幅度，</w:t>
      </w:r>
      <w:r>
        <w:rPr>
          <w:rFonts w:hint="eastAsia"/>
          <w:sz w:val="21"/>
          <w:szCs w:val="21"/>
        </w:rPr>
        <w:t>可参</w:t>
      </w:r>
      <w:r>
        <w:rPr>
          <w:sz w:val="21"/>
          <w:szCs w:val="21"/>
        </w:rPr>
        <w:t>考《最高人民法院关于进一步规范人民法院网络司法拍卖工作的通知》（法明传[2017]253号文）加价幅度可参考以下原则确定：起拍价为10万元以下（含10万元）的标的物，加价幅度不宜超过起拍价的2%；起拍价为10万元至100万元（含100万元）的标的物，加价幅度不宜超过起拍价的1%；起拍价为100万元的标的物，加价幅度不宜超过起拍价的0.5%。</w:t>
      </w:r>
    </w:p>
    <w:p>
      <w:pPr>
        <w:pStyle w:val="30"/>
        <w:numPr>
          <w:ilvl w:val="0"/>
          <w:numId w:val="1"/>
        </w:numPr>
        <w:spacing w:line="360" w:lineRule="auto"/>
        <w:ind w:firstLineChars="0"/>
        <w:rPr>
          <w:sz w:val="21"/>
          <w:szCs w:val="21"/>
        </w:rPr>
      </w:pPr>
      <w:r>
        <w:rPr>
          <w:rFonts w:hint="eastAsia"/>
          <w:sz w:val="21"/>
          <w:szCs w:val="21"/>
        </w:rPr>
        <w:t>关于</w:t>
      </w:r>
      <w:r>
        <w:rPr>
          <w:rFonts w:hint="eastAsia"/>
          <w:b/>
          <w:bCs/>
          <w:sz w:val="21"/>
          <w:szCs w:val="21"/>
        </w:rPr>
        <w:t>税费，</w:t>
      </w:r>
      <w:r>
        <w:rPr>
          <w:rFonts w:hint="eastAsia"/>
          <w:sz w:val="21"/>
          <w:szCs w:val="21"/>
        </w:rPr>
        <w:t>可</w:t>
      </w:r>
      <w:r>
        <w:rPr>
          <w:sz w:val="21"/>
          <w:szCs w:val="21"/>
        </w:rPr>
        <w:t>参</w:t>
      </w:r>
      <w:r>
        <w:rPr>
          <w:rFonts w:hint="eastAsia"/>
          <w:sz w:val="21"/>
          <w:szCs w:val="21"/>
        </w:rPr>
        <w:t>考</w:t>
      </w:r>
      <w:r>
        <w:rPr>
          <w:sz w:val="21"/>
          <w:szCs w:val="21"/>
        </w:rPr>
        <w:t>最高人民法院《关于人民法院网络司法拍卖若干问题的规定》（法释〔2016〕18号）的相关规定</w:t>
      </w:r>
      <w:r>
        <w:rPr>
          <w:rFonts w:hint="eastAsia"/>
          <w:sz w:val="21"/>
          <w:szCs w:val="21"/>
        </w:rPr>
        <w:t>，</w:t>
      </w:r>
      <w:r>
        <w:rPr>
          <w:sz w:val="21"/>
          <w:szCs w:val="21"/>
        </w:rPr>
        <w:t>税费应当依照相关法律、行政法规的规定，由相应主体承担；没有规定或者规定不明的，</w:t>
      </w:r>
      <w:r>
        <w:rPr>
          <w:rFonts w:hint="eastAsia"/>
          <w:sz w:val="21"/>
          <w:szCs w:val="21"/>
        </w:rPr>
        <w:t>法院</w:t>
      </w:r>
      <w:r>
        <w:rPr>
          <w:sz w:val="21"/>
          <w:szCs w:val="21"/>
        </w:rPr>
        <w:t>可以根据法律原则和案件实际情况确定税费承担的相关主体、数额。</w:t>
      </w:r>
    </w:p>
    <w:p>
      <w:pPr>
        <w:spacing w:line="360" w:lineRule="auto"/>
        <w:rPr>
          <w:sz w:val="21"/>
          <w:szCs w:val="21"/>
        </w:rPr>
      </w:pPr>
    </w:p>
    <w:p>
      <w:pPr>
        <w:spacing w:line="360" w:lineRule="auto"/>
        <w:jc w:val="right"/>
      </w:pPr>
      <w:r>
        <w:rPr>
          <w:rFonts w:hint="eastAsia"/>
        </w:rPr>
        <w:t xml:space="preserve">委托方: </w:t>
      </w:r>
      <w:r>
        <w:fldChar w:fldCharType="begin">
          <w:ffData>
            <w:name w:val="文字20"/>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 xml:space="preserve">                                </w:t>
      </w:r>
    </w:p>
    <w:p>
      <w:pPr>
        <w:spacing w:line="360" w:lineRule="auto"/>
        <w:jc w:val="right"/>
      </w:pPr>
      <w:r>
        <w:rPr>
          <w:rFonts w:hint="eastAsia"/>
        </w:rPr>
        <w:t xml:space="preserve">（盖章/签字）  </w:t>
      </w:r>
    </w:p>
    <w:p>
      <w:pPr>
        <w:spacing w:line="360" w:lineRule="auto"/>
        <w:jc w:val="right"/>
      </w:pPr>
      <w:r>
        <w:rPr>
          <w:rFonts w:hint="eastAsia"/>
        </w:rPr>
        <w:t xml:space="preserve">                           </w:t>
      </w:r>
    </w:p>
    <w:p>
      <w:pPr>
        <w:spacing w:line="360" w:lineRule="auto"/>
        <w:jc w:val="right"/>
        <w:rPr>
          <w:sz w:val="21"/>
          <w:szCs w:val="21"/>
        </w:rPr>
      </w:pPr>
      <w:r>
        <w:rPr>
          <w:rFonts w:hint="eastAsia"/>
        </w:rPr>
        <w:t>日 期：</w:t>
      </w:r>
      <w:r>
        <w:fldChar w:fldCharType="begin">
          <w:ffData>
            <w:name w:val="文字28"/>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年</w:t>
      </w:r>
      <w:r>
        <w:fldChar w:fldCharType="begin">
          <w:ffData>
            <w:name w:val="文字27"/>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月</w:t>
      </w:r>
      <w:r>
        <w:fldChar w:fldCharType="begin">
          <w:ffData>
            <w:name w:val="文字27"/>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 xml:space="preserve">日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rPr>
          <w:rFonts w:hint="eastAsia"/>
        </w:rPr>
        <w:t>附件二：委托网络竞价处置流程与须知事宜</w:t>
      </w:r>
    </w:p>
    <w:p>
      <w:pPr>
        <w:spacing w:line="360" w:lineRule="auto"/>
      </w:pPr>
    </w:p>
    <w:p>
      <w:pPr>
        <w:spacing w:line="360" w:lineRule="auto"/>
        <w:jc w:val="center"/>
        <w:rPr>
          <w:b/>
          <w:bCs/>
          <w:sz w:val="28"/>
          <w:szCs w:val="28"/>
        </w:rPr>
      </w:pPr>
      <w:r>
        <w:rPr>
          <w:rFonts w:hint="eastAsia"/>
          <w:b/>
          <w:bCs/>
          <w:sz w:val="28"/>
          <w:szCs w:val="28"/>
        </w:rPr>
        <w:t>委托网络竞价处置流程与须知事宜</w:t>
      </w:r>
    </w:p>
    <w:p>
      <w:pPr>
        <w:spacing w:line="360" w:lineRule="auto"/>
        <w:ind w:left="482" w:hanging="482" w:hangingChars="200"/>
        <w:rPr>
          <w:b/>
          <w:bCs/>
        </w:rPr>
      </w:pPr>
      <w:r>
        <w:rPr>
          <w:b/>
          <w:bCs/>
        </w:rPr>
        <w:t>1</w:t>
      </w:r>
      <w:r>
        <w:rPr>
          <w:rFonts w:hint="eastAsia"/>
          <w:b/>
          <w:bCs/>
        </w:rPr>
        <w:t>.处置流程</w:t>
      </w:r>
    </w:p>
    <w:p>
      <w:pPr>
        <w:tabs>
          <w:tab w:val="left" w:pos="567"/>
          <w:tab w:val="left" w:pos="709"/>
        </w:tabs>
        <w:spacing w:line="360" w:lineRule="auto"/>
        <w:ind w:left="1263" w:leftChars="225" w:hanging="723" w:hangingChars="300"/>
      </w:pPr>
      <w:r>
        <w:rPr>
          <w:b/>
          <w:bCs/>
        </w:rPr>
        <w:t>1.1</w:t>
      </w:r>
      <w:r>
        <w:rPr>
          <w:rFonts w:hint="eastAsia"/>
          <w:b/>
          <w:bCs/>
        </w:rPr>
        <w:t>办理委托手续。</w:t>
      </w:r>
      <w:r>
        <w:rPr>
          <w:rFonts w:hint="eastAsia"/>
        </w:rPr>
        <w:t>委托方应配合受托方办理委托手续，以确保受托方依法依规提供相关服务。包括但不限于在首个标的竞买公告发布前向受托方提供其对服务机构的书面委托函或授权函，具体根据项目属性及相关法律规定、阿里拍卖平台管理规范要求为准。</w:t>
      </w:r>
    </w:p>
    <w:p>
      <w:pPr>
        <w:tabs>
          <w:tab w:val="left" w:pos="567"/>
          <w:tab w:val="left" w:pos="709"/>
        </w:tabs>
        <w:spacing w:line="360" w:lineRule="auto"/>
        <w:ind w:left="1263" w:leftChars="225" w:hanging="723" w:hangingChars="300"/>
      </w:pPr>
      <w:r>
        <w:rPr>
          <w:b/>
          <w:bCs/>
        </w:rPr>
        <w:t>1.</w:t>
      </w:r>
      <w:r>
        <w:rPr>
          <w:rFonts w:hint="eastAsia"/>
          <w:b/>
          <w:bCs/>
        </w:rPr>
        <w:t>2</w:t>
      </w:r>
      <w:r>
        <w:rPr>
          <w:b/>
          <w:bCs/>
        </w:rPr>
        <w:t xml:space="preserve"> </w:t>
      </w:r>
      <w:r>
        <w:rPr>
          <w:rFonts w:hint="eastAsia"/>
          <w:b/>
          <w:bCs/>
        </w:rPr>
        <w:t>权利瑕疵披露。</w:t>
      </w:r>
      <w:r>
        <w:rPr>
          <w:rFonts w:hint="eastAsia"/>
        </w:rPr>
        <w:t>委托方应查明待处置资产现状、权利负担等内容。委托方承诺对该资产拥有合法处置权且在阿里拍卖平台的网络竞价处置不违反任何法律法规或侵犯第三方的合法权益，不存在委托方已知或应知但未披露的质量瑕疵及/或权利瑕疵、权利负担，委托方应保证所提供的资产相关介绍和资料、图片等信息是真实、准确及有效的。</w:t>
      </w:r>
    </w:p>
    <w:p>
      <w:pPr>
        <w:tabs>
          <w:tab w:val="left" w:pos="567"/>
          <w:tab w:val="left" w:pos="709"/>
        </w:tabs>
        <w:spacing w:line="360" w:lineRule="auto"/>
        <w:ind w:left="1263" w:leftChars="225" w:hanging="723" w:hangingChars="300"/>
      </w:pPr>
      <w:r>
        <w:rPr>
          <w:b/>
          <w:bCs/>
        </w:rPr>
        <w:t>1.</w:t>
      </w:r>
      <w:r>
        <w:rPr>
          <w:rFonts w:hint="eastAsia"/>
          <w:b/>
          <w:bCs/>
        </w:rPr>
        <w:t>3</w:t>
      </w:r>
      <w:r>
        <w:rPr>
          <w:b/>
          <w:bCs/>
        </w:rPr>
        <w:t xml:space="preserve"> </w:t>
      </w:r>
      <w:r>
        <w:rPr>
          <w:rFonts w:hint="eastAsia"/>
          <w:b/>
          <w:bCs/>
        </w:rPr>
        <w:t>竞价材料准备。</w:t>
      </w:r>
      <w:r>
        <w:rPr>
          <w:rFonts w:hint="eastAsia"/>
        </w:rPr>
        <w:t>受托方根据委托方审定竞买公告、竞价规则、竞买须知等文件范本准备竞价发布，委托方需确保网络竞价处置的相关内容以及网络竞价处置程序符合相关法律法规及监管政策之要求，包括向用户重点披露参与竞价者资格排除规定、可能导致项目无法成交的法定情形等用户权利限制性规则，否则委托方须自行负责因未向用户清晰明示前述事项而产生的纠纷及相应责任。如因委托方审定的文本存在表述瑕疵引发的争议及纠纷应由双方协商解决，委托方不得因其非为前述文件范本的拟定者而拒绝承担审核责任或要求受托方及服务机构赔偿损失，受托方或服务机构擅自修改文件范本或未按委托方审定文本发布的除外。</w:t>
      </w:r>
    </w:p>
    <w:p>
      <w:pPr>
        <w:tabs>
          <w:tab w:val="left" w:pos="567"/>
          <w:tab w:val="left" w:pos="709"/>
        </w:tabs>
        <w:spacing w:line="360" w:lineRule="auto"/>
        <w:ind w:left="1263" w:leftChars="225" w:hanging="723" w:hangingChars="300"/>
      </w:pPr>
      <w:r>
        <w:rPr>
          <w:b/>
          <w:bCs/>
        </w:rPr>
        <w:t>1.</w:t>
      </w:r>
      <w:r>
        <w:rPr>
          <w:rFonts w:hint="eastAsia"/>
          <w:b/>
          <w:bCs/>
        </w:rPr>
        <w:t>4</w:t>
      </w:r>
      <w:r>
        <w:rPr>
          <w:b/>
          <w:bCs/>
        </w:rPr>
        <w:t xml:space="preserve"> </w:t>
      </w:r>
      <w:r>
        <w:rPr>
          <w:rFonts w:hint="eastAsia"/>
          <w:b/>
          <w:bCs/>
        </w:rPr>
        <w:t>竞价设置。</w:t>
      </w:r>
      <w:r>
        <w:rPr>
          <w:rFonts w:hint="eastAsia"/>
        </w:rPr>
        <w:t>委托方自主确定待处置资产的起拍价、加价幅度、保证金数额、税费承担、公告时间及竞价时间等，</w:t>
      </w:r>
      <w:r>
        <w:t>并独立承担责任</w:t>
      </w:r>
      <w:r>
        <w:rPr>
          <w:rFonts w:hint="eastAsia"/>
        </w:rPr>
        <w:t>，前述信息需符合相关法律规定及阿里拍卖平台管理规范要求。</w:t>
      </w:r>
      <w:r>
        <w:t>如法院或债权人对处置资产前述信息有相关要求，委托方同意按法院或债权人的要求进行设置（如法院与债权人要求不一致时，以法院的要求为准），前述信息需符合相关法律规定及阿里拍卖平台管理规范要求。</w:t>
      </w:r>
      <w:r>
        <w:rPr>
          <w:rFonts w:hint="eastAsia"/>
        </w:rPr>
        <w:t>受托方或服务机构协助完成标的发布、上架。</w:t>
      </w:r>
    </w:p>
    <w:p>
      <w:pPr>
        <w:tabs>
          <w:tab w:val="left" w:pos="567"/>
          <w:tab w:val="left" w:pos="709"/>
        </w:tabs>
        <w:spacing w:line="360" w:lineRule="auto"/>
        <w:ind w:left="1263" w:leftChars="225" w:hanging="723" w:hangingChars="300"/>
      </w:pPr>
      <w:r>
        <w:rPr>
          <w:b/>
          <w:bCs/>
        </w:rPr>
        <w:t>1.</w:t>
      </w:r>
      <w:r>
        <w:rPr>
          <w:rFonts w:hint="eastAsia"/>
          <w:b/>
          <w:bCs/>
        </w:rPr>
        <w:t>5</w:t>
      </w:r>
      <w:r>
        <w:rPr>
          <w:b/>
          <w:bCs/>
        </w:rPr>
        <w:t xml:space="preserve"> </w:t>
      </w:r>
      <w:r>
        <w:rPr>
          <w:rFonts w:hint="eastAsia"/>
          <w:b/>
          <w:bCs/>
        </w:rPr>
        <w:t>相关权利人通知。</w:t>
      </w:r>
      <w:r>
        <w:rPr>
          <w:rFonts w:hint="eastAsia"/>
        </w:rPr>
        <w:t>委托方在竞买公告发布</w:t>
      </w:r>
      <w:r>
        <w:t>5</w:t>
      </w:r>
      <w:r>
        <w:rPr>
          <w:rFonts w:hint="eastAsia"/>
        </w:rPr>
        <w:t>日前以书面或者其他能够确认收悉的合理方式，通知担保物权人、优先购买权人或者其他优先权人，法规、政策另有规定的除外。</w:t>
      </w:r>
    </w:p>
    <w:p>
      <w:pPr>
        <w:tabs>
          <w:tab w:val="left" w:pos="567"/>
          <w:tab w:val="left" w:pos="709"/>
        </w:tabs>
        <w:spacing w:line="360" w:lineRule="auto"/>
        <w:ind w:left="1263" w:leftChars="225" w:hanging="723" w:hangingChars="300"/>
      </w:pPr>
      <w:r>
        <w:rPr>
          <w:b/>
          <w:bCs/>
        </w:rPr>
        <w:t>1.6</w:t>
      </w:r>
      <w:r>
        <w:rPr>
          <w:rFonts w:hint="eastAsia"/>
          <w:b/>
          <w:bCs/>
        </w:rPr>
        <w:t>竞价交易。</w:t>
      </w:r>
      <w:r>
        <w:rPr>
          <w:rFonts w:hint="eastAsia"/>
        </w:rPr>
        <w:t>受托方负责协调委托方、阿里拍卖平台及服务机构之间的合作对接，监督一案一账户资金全流程操作，</w:t>
      </w:r>
      <w:r>
        <w:rPr>
          <w:rFonts w:hint="eastAsia"/>
          <w:color w:val="000000"/>
        </w:rPr>
        <w:t>促进资产处置的顺利开展。在竞价成功后，</w:t>
      </w:r>
      <w:r>
        <w:rPr>
          <w:rFonts w:hint="eastAsia"/>
        </w:rPr>
        <w:t>整理相应竞价信息。</w:t>
      </w:r>
    </w:p>
    <w:p>
      <w:pPr>
        <w:tabs>
          <w:tab w:val="left" w:pos="567"/>
          <w:tab w:val="left" w:pos="709"/>
        </w:tabs>
        <w:spacing w:line="360" w:lineRule="auto"/>
        <w:ind w:left="1263" w:leftChars="225" w:hanging="723" w:hangingChars="300"/>
      </w:pPr>
      <w:r>
        <w:rPr>
          <w:b/>
          <w:bCs/>
        </w:rPr>
        <w:t xml:space="preserve">1.7 </w:t>
      </w:r>
      <w:r>
        <w:rPr>
          <w:rFonts w:hint="eastAsia"/>
          <w:b/>
          <w:bCs/>
        </w:rPr>
        <w:t>线下交割。</w:t>
      </w:r>
      <w:r>
        <w:rPr>
          <w:rFonts w:hint="eastAsia"/>
        </w:rPr>
        <w:t>包括标的交付、协议签署等。委托方自行根据竞买公告、竞买须知处理线下交割、过户手续（如有）。受托方不承担因线下交割或后续协议履行产生的任何纠纷；如涉及线上处置的（如成交价款划转、交割失败导致的保证金释放/赔付），受托方应予以协助。</w:t>
      </w:r>
    </w:p>
    <w:p>
      <w:pPr>
        <w:tabs>
          <w:tab w:val="left" w:pos="567"/>
          <w:tab w:val="left" w:pos="709"/>
        </w:tabs>
        <w:spacing w:line="360" w:lineRule="auto"/>
        <w:rPr>
          <w:b/>
          <w:bCs/>
        </w:rPr>
      </w:pPr>
      <w:r>
        <w:rPr>
          <w:rFonts w:hint="eastAsia"/>
          <w:b/>
          <w:bCs/>
        </w:rPr>
        <w:t>2</w:t>
      </w:r>
      <w:r>
        <w:rPr>
          <w:b/>
          <w:bCs/>
        </w:rPr>
        <w:t>.</w:t>
      </w:r>
      <w:r>
        <w:rPr>
          <w:rFonts w:hint="eastAsia"/>
          <w:b/>
          <w:bCs/>
        </w:rPr>
        <w:t>须知事宜</w:t>
      </w:r>
    </w:p>
    <w:p>
      <w:pPr>
        <w:tabs>
          <w:tab w:val="left" w:pos="567"/>
          <w:tab w:val="left" w:pos="709"/>
        </w:tabs>
        <w:spacing w:line="360" w:lineRule="auto"/>
        <w:ind w:left="1260" w:leftChars="225" w:hanging="720" w:hangingChars="300"/>
      </w:pPr>
      <w:r>
        <w:t>2.1</w:t>
      </w:r>
      <w:r>
        <w:rPr>
          <w:rFonts w:hint="eastAsia"/>
        </w:rPr>
        <w:t>为充分保障意向竞买人的合法权益，避免标的物在多个交易场所进行交易可能引发的争议，保障交易稳定性，同时进一步发挥各方资源的协同效应、叠加效应，在委托期限届满之前未经受托方许可，委托方不另行委托其他网络交易平台、服务机构（包括但不限于拍卖行）或交易机构进行资产处置或者线下交易，法律另有规定的除外。</w:t>
      </w:r>
    </w:p>
    <w:p>
      <w:pPr>
        <w:tabs>
          <w:tab w:val="left" w:pos="567"/>
          <w:tab w:val="left" w:pos="709"/>
        </w:tabs>
        <w:spacing w:line="360" w:lineRule="auto"/>
        <w:ind w:left="1260" w:leftChars="225" w:hanging="720" w:hangingChars="300"/>
      </w:pPr>
      <w:r>
        <w:rPr>
          <w:rFonts w:hint="eastAsia"/>
        </w:rPr>
        <w:t>2</w:t>
      </w:r>
      <w:r>
        <w:t>.2</w:t>
      </w:r>
      <w:r>
        <w:rPr>
          <w:rFonts w:hint="eastAsia"/>
        </w:rPr>
        <w:t>受托方及阿里拍卖平台并非交易的参与方，本协议项下的任何条款在任何情况下均不得被理解为受托方及阿里拍卖平台对委托方的项目或资产处置行为向第三人（包括但不限于竞买人或其他任何第三方）做出了任何的承诺和/或保证。委托方知悉且同意受托方、阿里拍卖平台及服务机构不对本协议项下服务或资源可能获得的用户关注量、成交率和溢价率负责或作出任何承诺或保证。</w:t>
      </w:r>
    </w:p>
    <w:p>
      <w:pPr>
        <w:tabs>
          <w:tab w:val="left" w:pos="567"/>
          <w:tab w:val="left" w:pos="709"/>
        </w:tabs>
        <w:spacing w:line="360" w:lineRule="auto"/>
        <w:ind w:left="1260" w:leftChars="225" w:hanging="720" w:hangingChars="300"/>
      </w:pPr>
      <w:r>
        <w:t>2.3</w:t>
      </w:r>
      <w:r>
        <w:rPr>
          <w:rFonts w:hint="eastAsia"/>
        </w:rPr>
        <w:t>各方或其任何高级职员、董事、股东、代表、代理人不得自行或委托他人代为竞买委托项目标的，或实施任何妨碍网络竞价公正的行为。</w:t>
      </w:r>
    </w:p>
    <w:p>
      <w:pPr>
        <w:tabs>
          <w:tab w:val="left" w:pos="567"/>
          <w:tab w:val="left" w:pos="709"/>
        </w:tabs>
        <w:spacing w:line="360" w:lineRule="auto"/>
        <w:ind w:left="1260" w:leftChars="225" w:hanging="720" w:hangingChars="300"/>
      </w:pPr>
      <w:r>
        <w:t>2.4</w:t>
      </w:r>
      <w:r>
        <w:rPr>
          <w:rFonts w:hint="eastAsia"/>
        </w:rPr>
        <w:t>阿里拍卖平台的网络竞价技术服务将按“现状”和按“可得到”的状态提供，阿里拍卖平台将在现有技术的基础上尽最大努力提供相应的安全措施以保障服务安全和正常运行。但由于可能存在的计算机病毒、网络通讯故障、系统维护等方面的因素以及可能发生的不可抗力事件，阿里拍卖平台对技术服务不作任何明示或暗示的保证，包括但不限于对服务的可适用性、没有错误或疏漏、持续性、准确性、可靠性、适用于某一特定用途。对此委托方予以理解并不应要求阿里拍卖平台或受托方在以下情况下承担责任：</w:t>
      </w:r>
    </w:p>
    <w:p>
      <w:pPr>
        <w:tabs>
          <w:tab w:val="left" w:pos="567"/>
          <w:tab w:val="left" w:pos="709"/>
        </w:tabs>
        <w:spacing w:line="360" w:lineRule="auto"/>
        <w:ind w:left="1260" w:leftChars="525"/>
      </w:pPr>
      <w:r>
        <w:rPr>
          <w:rFonts w:hint="eastAsia"/>
        </w:rPr>
        <w:t>（1）因操作方的浏览器不兼容、操作不当导致的问题；</w:t>
      </w:r>
    </w:p>
    <w:p>
      <w:pPr>
        <w:tabs>
          <w:tab w:val="left" w:pos="567"/>
          <w:tab w:val="left" w:pos="709"/>
        </w:tabs>
        <w:spacing w:line="360" w:lineRule="auto"/>
        <w:ind w:left="1260" w:leftChars="525"/>
      </w:pPr>
      <w:r>
        <w:rPr>
          <w:rFonts w:hint="eastAsia"/>
        </w:rPr>
        <w:t>（2）系统停机、系统维护；</w:t>
      </w:r>
    </w:p>
    <w:p>
      <w:pPr>
        <w:tabs>
          <w:tab w:val="left" w:pos="567"/>
          <w:tab w:val="left" w:pos="709"/>
        </w:tabs>
        <w:spacing w:line="360" w:lineRule="auto"/>
        <w:ind w:left="1260" w:leftChars="525"/>
      </w:pPr>
      <w:r>
        <w:rPr>
          <w:rFonts w:hint="eastAsia"/>
        </w:rPr>
        <w:t>（3）通讯终端或电信网络设备出现故障不能进行数据传输的；</w:t>
      </w:r>
    </w:p>
    <w:p>
      <w:pPr>
        <w:tabs>
          <w:tab w:val="left" w:pos="567"/>
          <w:tab w:val="left" w:pos="709"/>
        </w:tabs>
        <w:spacing w:line="360" w:lineRule="auto"/>
        <w:ind w:left="1860" w:leftChars="525" w:hanging="600" w:hangingChars="250"/>
      </w:pPr>
      <w:r>
        <w:rPr>
          <w:rFonts w:hint="eastAsia"/>
        </w:rPr>
        <w:t>（4）因台风、地震、海啸、洪水、停电、战争、恐怖袭击等不可抗力之因素，造成系统障碍不能提供服务的；</w:t>
      </w:r>
    </w:p>
    <w:p>
      <w:pPr>
        <w:tabs>
          <w:tab w:val="left" w:pos="567"/>
          <w:tab w:val="left" w:pos="709"/>
        </w:tabs>
        <w:spacing w:line="360" w:lineRule="auto"/>
        <w:ind w:left="1860" w:leftChars="525" w:hanging="600" w:hangingChars="250"/>
      </w:pPr>
      <w:r>
        <w:rPr>
          <w:rFonts w:hint="eastAsia"/>
        </w:rPr>
        <w:t>（5）由于黑客攻击、病毒木马程序、电信部门技术调整或故障、网站升级、第三方问题等原因而造成的服务中断或者延迟。</w:t>
      </w:r>
    </w:p>
    <w:p>
      <w:pPr>
        <w:tabs>
          <w:tab w:val="left" w:pos="567"/>
          <w:tab w:val="left" w:pos="709"/>
        </w:tabs>
        <w:spacing w:line="360" w:lineRule="auto"/>
        <w:ind w:left="1260" w:leftChars="225" w:hanging="720" w:hangingChars="300"/>
      </w:pPr>
      <w:r>
        <w:t>2.5</w:t>
      </w:r>
      <w:r>
        <w:rPr>
          <w:rFonts w:hint="eastAsia"/>
        </w:rPr>
        <w:t>资产处置过程中，如发生安全隐患、网络通讯故障、系统维护、处置可能引发重大履约风险、不可抗力事件等紧急情况不宜继续处置情形的，阿里拍卖平台可以先行暂缓、中止处置。受托方将在阿里拍卖平台作出暂缓、中止处置操作后及时通知委托方，双方应协商确认后续处置服务方案，包括拟制公告说明及向竞买人做好相关解释工作。</w:t>
      </w:r>
    </w:p>
    <w:p>
      <w:pPr>
        <w:tabs>
          <w:tab w:val="left" w:pos="567"/>
          <w:tab w:val="left" w:pos="709"/>
        </w:tabs>
        <w:spacing w:line="360" w:lineRule="auto"/>
        <w:ind w:left="1260" w:leftChars="225" w:hanging="720" w:hangingChars="300"/>
      </w:pPr>
      <w:r>
        <w:t>2.6</w:t>
      </w:r>
      <w:r>
        <w:rPr>
          <w:rFonts w:hint="eastAsia"/>
        </w:rPr>
        <w:t>异常处理。如遇依法应当暂缓、中止处置等情形的，委托方应立即通知受托方及服务机构并配合根据阿里拍卖平台规则出具公告说明，未及时通知导致的后果及责任由委托方自行承担。</w:t>
      </w:r>
    </w:p>
    <w:p>
      <w:pPr>
        <w:tabs>
          <w:tab w:val="left" w:pos="567"/>
          <w:tab w:val="left" w:pos="709"/>
        </w:tabs>
        <w:spacing w:line="360" w:lineRule="auto"/>
        <w:ind w:left="1260" w:leftChars="225" w:hanging="720" w:hangingChars="300"/>
      </w:pPr>
      <w:r>
        <w:t xml:space="preserve">2.7 </w:t>
      </w:r>
      <w:r>
        <w:rPr>
          <w:rFonts w:hint="eastAsia"/>
        </w:rPr>
        <w:t>未经阿里拍卖平台或相关权利人另行书面授权，委托方不得以阿里拍卖平台及其关联公司名义发布信息，对外开展合作或宣称具有代理、代表权限，或使用“淘宝”、“阿里拍卖”、“阿里巴巴”等的名称、商号、商标等。</w:t>
      </w:r>
    </w:p>
    <w:p>
      <w:pPr>
        <w:tabs>
          <w:tab w:val="left" w:pos="567"/>
          <w:tab w:val="left" w:pos="709"/>
        </w:tabs>
        <w:spacing w:line="360" w:lineRule="auto"/>
        <w:ind w:left="1260" w:leftChars="225" w:hanging="720" w:hangingChars="300"/>
      </w:pPr>
      <w:r>
        <w:rPr>
          <w:rFonts w:hint="eastAsia"/>
        </w:rPr>
        <w:t>2</w:t>
      </w:r>
      <w:r>
        <w:t>.8</w:t>
      </w:r>
      <w:r>
        <w:rPr>
          <w:rFonts w:hint="eastAsia"/>
        </w:rPr>
        <w:t>如委托方违反权利瑕疵担保义务或其他委托方原因导致标的交割、过户手续无法完成的，导致针对受托方、阿里拍卖平台或服务机构提出、或者受托方、阿里拍卖平台遭受或者承受任何诉讼、行政处罚、司法程序、索赔、付款要求和责任，给受托方、阿里拍卖平台及服务机构造成直接、间接损失的，应赔偿受托方、阿里拍卖平台及服务机构全部损失，以及支出的全部成本费用（包括诉讼费、律师费、公证费等维权支出全部合理费用）。若损失难以计算的，受托方有权要求委托方按相应标的成交价的【</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w:t>
      </w:r>
      <w:r>
        <w:rPr>
          <w:rFonts w:hint="eastAsia"/>
        </w:rPr>
        <w:t>】支付违约金，但因受托方、阿里拍卖平台及服务机构自身过错导致的争议、诉讼、索赔等除外。</w:t>
      </w:r>
    </w:p>
    <w:p>
      <w:pPr>
        <w:tabs>
          <w:tab w:val="left" w:pos="567"/>
          <w:tab w:val="left" w:pos="709"/>
        </w:tabs>
        <w:spacing w:line="360" w:lineRule="auto"/>
        <w:rPr>
          <w:b/>
          <w:bCs/>
        </w:rPr>
      </w:pPr>
      <w:r>
        <w:rPr>
          <w:b/>
          <w:bCs/>
        </w:rPr>
        <w:t>3.</w:t>
      </w:r>
      <w:r>
        <w:rPr>
          <w:rFonts w:hint="eastAsia"/>
          <w:b/>
          <w:bCs/>
        </w:rPr>
        <w:t>其他</w:t>
      </w:r>
    </w:p>
    <w:p>
      <w:pPr>
        <w:tabs>
          <w:tab w:val="left" w:pos="567"/>
          <w:tab w:val="left" w:pos="709"/>
        </w:tabs>
        <w:spacing w:line="360" w:lineRule="auto"/>
      </w:pPr>
      <w:r>
        <w:rPr>
          <w:rFonts w:hint="eastAsia"/>
        </w:rPr>
        <w:t>3</w:t>
      </w:r>
      <w:r>
        <w:t>.1</w:t>
      </w:r>
      <w:r>
        <w:rPr>
          <w:rFonts w:hint="eastAsia"/>
        </w:rPr>
        <w:t>保密约定</w:t>
      </w:r>
    </w:p>
    <w:p>
      <w:pPr>
        <w:wordWrap w:val="0"/>
        <w:spacing w:line="360" w:lineRule="auto"/>
        <w:ind w:left="480" w:hanging="480" w:hangingChars="200"/>
      </w:pPr>
      <w:r>
        <w:t>3.1.</w:t>
      </w:r>
      <w:r>
        <w:rPr>
          <w:rFonts w:hint="eastAsia"/>
        </w:rPr>
        <w:t>1</w:t>
      </w:r>
      <w:r>
        <w:t xml:space="preserve"> </w:t>
      </w:r>
      <w:r>
        <w:rPr>
          <w:rFonts w:hint="eastAsia"/>
        </w:rPr>
        <w:t>本协议的每一方均有义务对下列事项保密：(a)本协议的签订、履行和内容，以及(b)该方因签订或履行本协议而知晓或收到的不为公众所知悉的与另一方有关的商业秘密、专有信息和客户信息（不论该信息是否进行标注，统称“保密信息”）。</w:t>
      </w:r>
    </w:p>
    <w:p>
      <w:pPr>
        <w:wordWrap w:val="0"/>
        <w:spacing w:line="360" w:lineRule="auto"/>
        <w:ind w:left="480" w:hanging="480" w:hangingChars="200"/>
      </w:pPr>
      <w:r>
        <w:t>3.1.</w:t>
      </w:r>
      <w:r>
        <w:rPr>
          <w:rFonts w:hint="eastAsia"/>
        </w:rPr>
        <w:t>2 未经另一方事先书面同意（该方不得无理拒绝或延迟该等同意），任何一方不得向任何人做出或发布任何有关本协议的公告，但前提是，本协议未限制一方根据法律所规定、或经任何股票交易所要求而做出任何公告。</w:t>
      </w:r>
    </w:p>
    <w:p>
      <w:pPr>
        <w:wordWrap w:val="0"/>
        <w:spacing w:line="360" w:lineRule="auto"/>
        <w:ind w:left="480" w:hanging="480" w:hangingChars="200"/>
      </w:pPr>
      <w:r>
        <w:t>3.1.</w:t>
      </w:r>
      <w:r>
        <w:rPr>
          <w:rFonts w:hint="eastAsia"/>
        </w:rPr>
        <w:t>3 除本协议有明确约定外，任何一方均不得将保密信息用于履行其在本协议项下之义务以外的任何用途。未经另一方书面同意，任何一方均不得向任何第三方披露保密信息，擅自披露的，应当对另一方的所有损失、损害和责任进行赔偿。</w:t>
      </w:r>
    </w:p>
    <w:p>
      <w:pPr>
        <w:wordWrap w:val="0"/>
        <w:spacing w:line="360" w:lineRule="auto"/>
        <w:ind w:left="480" w:hanging="480" w:hangingChars="200"/>
      </w:pPr>
      <w:r>
        <w:rPr>
          <w:rFonts w:hint="eastAsia"/>
        </w:rPr>
        <w:t>3</w:t>
      </w:r>
      <w:r>
        <w:t>.2不可抗力是指双方不能预见、不能避免且不能克服的客观情况。如发生不可抗力事件影响本协议履行的，遭受不可抗力的一方应在不可抗力事件发生后24小时内将不可抗力事件的具体情形告知另一方并在该不可抗力发生后5日内提供有效的证明文件，同时应采取积极措施减少不可抗力事件造成的损失。届时双方可根据不可抗力事件对履行本协议的影响程度，另行协商延期履行本协议，或者部分免除本协议的履行义务或者终止本协议。</w:t>
      </w:r>
    </w:p>
    <w:p>
      <w:pPr>
        <w:spacing w:line="360" w:lineRule="auto"/>
      </w:pPr>
      <w:r>
        <w:rPr>
          <w:rFonts w:hint="eastAsia"/>
        </w:rPr>
        <w:t>3</w:t>
      </w:r>
      <w:r>
        <w:t>.3</w:t>
      </w:r>
      <w:r>
        <w:rPr>
          <w:rFonts w:hint="eastAsia"/>
        </w:rPr>
        <w:t>反贿赂反腐败合规条款</w:t>
      </w:r>
    </w:p>
    <w:p>
      <w:pPr>
        <w:wordWrap w:val="0"/>
        <w:spacing w:line="360" w:lineRule="auto"/>
        <w:ind w:left="480" w:hanging="480" w:hangingChars="200"/>
      </w:pPr>
      <w:r>
        <w:t>3.3</w:t>
      </w:r>
      <w:r>
        <w:rPr>
          <w:rFonts w:hint="eastAsia"/>
        </w:rPr>
        <w:t>.1</w:t>
      </w:r>
      <w:r>
        <w:t xml:space="preserve"> </w:t>
      </w:r>
      <w:r>
        <w:rPr>
          <w:rFonts w:hint="eastAsia"/>
        </w:rPr>
        <w:t>委托方在此承诺和保证遵守下述约定，并要求委托方相关人员（包括但不限于股东、法定代表人、高管、董事、监事、员工及委托方为履行本协议而聘用的的顾问、代理、代表、供应商、分销商或其他公司及个人）也遵守下述约定：</w:t>
      </w:r>
    </w:p>
    <w:p>
      <w:pPr>
        <w:tabs>
          <w:tab w:val="left" w:pos="567"/>
          <w:tab w:val="left" w:pos="709"/>
        </w:tabs>
        <w:spacing w:line="360" w:lineRule="auto"/>
        <w:ind w:left="1260" w:leftChars="225" w:hanging="720" w:hangingChars="300"/>
      </w:pPr>
      <w:r>
        <w:rPr>
          <w:rFonts w:hint="eastAsia"/>
        </w:rPr>
        <w:t>（1）</w:t>
      </w:r>
      <w:r>
        <w:t xml:space="preserve"> </w:t>
      </w:r>
      <w:r>
        <w:rPr>
          <w:rFonts w:hint="eastAsia"/>
        </w:rPr>
        <w:t>委托方遵守中国以及可适用的任何其他国家或地区的反贿赂反腐败的法律、法规和相关国际公约（以下称“反贿赂反腐败法律”）的规定，包括但不限于中国的反贿赂反腐败法律和法规，美国《反海外腐败法》以及英国《反贿赂法案》等；</w:t>
      </w:r>
    </w:p>
    <w:p>
      <w:pPr>
        <w:tabs>
          <w:tab w:val="left" w:pos="567"/>
          <w:tab w:val="left" w:pos="709"/>
        </w:tabs>
        <w:spacing w:line="360" w:lineRule="auto"/>
        <w:ind w:left="1260" w:leftChars="225" w:hanging="720" w:hangingChars="300"/>
      </w:pPr>
      <w:r>
        <w:rPr>
          <w:rFonts w:hint="eastAsia"/>
        </w:rPr>
        <w:t>（2）委托方绝不为了帮助自己或帮助对方及对方关联公司获得或保留业务，或谋求交易机会或竞争优势，或为了获取任何不正当的利益，以直接或间接的方式，向任何政府机构、公司、企业、及其它组织和团体、国家工作人员、非国家工作人员（包括对方及对方关联公司员工）提出给付、给付、承诺给付或授权给付任何“有价值之物”，或采取其他违反反贿赂反腐败法律的行为。</w:t>
      </w:r>
    </w:p>
    <w:p>
      <w:pPr>
        <w:tabs>
          <w:tab w:val="left" w:pos="567"/>
          <w:tab w:val="left" w:pos="709"/>
        </w:tabs>
        <w:spacing w:line="360" w:lineRule="auto"/>
        <w:ind w:left="1260" w:leftChars="525"/>
      </w:pPr>
      <w:r>
        <w:rPr>
          <w:rFonts w:hint="eastAsia"/>
        </w:rPr>
        <w:t>“有价值之物”包括但不限于：现金和现金等价物（如预付卡、代金券、充值卡）；礼品、娱乐和招待（如用餐、差旅、考察、活动邀请或门票）；回扣或不合理的佣金、促销费、宣传费、赞助费、科研费、劳务费、咨询费；就业或雇佣机会；疏通费或加速费；投资机会、股票期权、借款等；</w:t>
      </w:r>
    </w:p>
    <w:p>
      <w:pPr>
        <w:wordWrap w:val="0"/>
        <w:spacing w:line="360" w:lineRule="auto"/>
        <w:ind w:left="480" w:hanging="480" w:hangingChars="200"/>
      </w:pPr>
      <w:r>
        <w:t>3.3.2</w:t>
      </w:r>
      <w:r>
        <w:rPr>
          <w:rFonts w:hint="eastAsia"/>
        </w:rPr>
        <w:t>若委托方违反本反贿赂条款，受托方有权通知委托方立即终止双方之间的合作。因此给委托方造成损失的，由委托方自行承担责任；因此给受托方造成损失的，由委托方承担赔偿责任以使受托方免受损失。</w:t>
      </w:r>
    </w:p>
    <w:p>
      <w:pPr>
        <w:spacing w:line="360" w:lineRule="auto"/>
        <w:ind w:left="480" w:hanging="480" w:hangingChars="200"/>
      </w:pPr>
      <w:r>
        <w:rPr>
          <w:rFonts w:hint="eastAsia"/>
        </w:rPr>
        <w:t>3</w:t>
      </w:r>
      <w:r>
        <w:t>.4</w:t>
      </w:r>
      <w:r>
        <w:rPr>
          <w:rFonts w:hint="eastAsia"/>
        </w:rPr>
        <w:t>委托方与受托方如因本授权委托书发生争议的，应首先友好协商解决，如协商不成的，任何一方均可向受托方住所地有管辖权的人民法院提起诉讼。</w:t>
      </w:r>
    </w:p>
    <w:p>
      <w:pPr>
        <w:spacing w:line="360" w:lineRule="auto"/>
        <w:ind w:left="480" w:hanging="480" w:hangingChars="200"/>
      </w:pPr>
      <w:r>
        <w:rPr>
          <w:rFonts w:hint="eastAsia"/>
        </w:rPr>
        <w:t>3</w:t>
      </w:r>
      <w:r>
        <w:t xml:space="preserve">.5 </w:t>
      </w:r>
      <w:r>
        <w:rPr>
          <w:rFonts w:hint="eastAsia"/>
        </w:rPr>
        <w:t>除非事先以书面通知更改，所有通知及函件均应通过本协议首页所载之联系方式传输。通知及函件可以电子邮件、特快专递方式送达。送达为电子邮件形式，以邮件进入收件方指定之电子邮件系统之日视为通知已到达对方；送达为邮寄快递形式的，以收件方签收或拒签视为通知已到达对方；如果同时使用几种通知方式的，以其中较快到达接受方者为准。若任何一方的联系人及/或联系信息发生变化(以下简称“变动方”)，变动方应当在该变更发生后的7日内通知另一方。变动方未按约定及时通知的，变动方应承担由此造成的损失。在另一方收到有关通知前，另一方根据变更前的联系信息所做出的联络和通讯应视为有效。</w:t>
      </w:r>
    </w:p>
    <w:p>
      <w:pPr>
        <w:spacing w:line="360" w:lineRule="auto"/>
        <w:ind w:left="480" w:hanging="480" w:hangingChars="200"/>
      </w:pPr>
      <w:r>
        <w:t>3.6</w:t>
      </w:r>
      <w:r>
        <w:rPr>
          <w:rFonts w:hint="eastAsia"/>
        </w:rPr>
        <w:t>委托方理解并同意，因经营策略调整等原因，受托方有权将本授权委托书项下的全部或部分权利义务转让予其关联公司，转让事宜将以本协议约定的有效方式进行通知，并自相关书面通知载明之日起生效。</w:t>
      </w:r>
    </w:p>
    <w:p>
      <w:pPr>
        <w:spacing w:line="360" w:lineRule="auto"/>
        <w:ind w:left="480" w:hanging="480" w:hangingChars="200"/>
      </w:pPr>
      <w:r>
        <w:t>3.7</w:t>
      </w:r>
      <w:r>
        <w:rPr>
          <w:rFonts w:hint="eastAsia"/>
        </w:rPr>
        <w:t>本授权委托书附件为本授权委托书的一部分，与授权委托书具有同等法律效力。</w:t>
      </w:r>
    </w:p>
    <w:p>
      <w:pPr>
        <w:spacing w:line="360" w:lineRule="auto"/>
        <w:jc w:val="right"/>
      </w:pPr>
      <w:r>
        <w:rPr>
          <w:rFonts w:hint="eastAsia"/>
        </w:rPr>
        <w:t xml:space="preserve">委托方: </w:t>
      </w:r>
      <w:r>
        <w:fldChar w:fldCharType="begin">
          <w:ffData>
            <w:name w:val="文字20"/>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 xml:space="preserve">                                </w:t>
      </w:r>
    </w:p>
    <w:p>
      <w:pPr>
        <w:spacing w:line="360" w:lineRule="auto"/>
        <w:jc w:val="right"/>
      </w:pPr>
      <w:r>
        <w:rPr>
          <w:rFonts w:hint="eastAsia"/>
        </w:rPr>
        <w:t xml:space="preserve">（盖章/签字）  </w:t>
      </w:r>
    </w:p>
    <w:p>
      <w:pPr>
        <w:spacing w:line="360" w:lineRule="auto"/>
        <w:jc w:val="right"/>
      </w:pPr>
      <w:r>
        <w:rPr>
          <w:rFonts w:hint="eastAsia"/>
        </w:rPr>
        <w:t xml:space="preserve">                           </w:t>
      </w:r>
    </w:p>
    <w:p>
      <w:pPr>
        <w:jc w:val="right"/>
        <w:rPr>
          <w:b/>
          <w:bCs/>
        </w:rPr>
      </w:pPr>
      <w:r>
        <w:rPr>
          <w:rFonts w:hint="eastAsia"/>
        </w:rPr>
        <w:t>日 期：</w:t>
      </w:r>
      <w:r>
        <w:fldChar w:fldCharType="begin">
          <w:ffData>
            <w:name w:val="文字28"/>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年</w:t>
      </w:r>
      <w:r>
        <w:fldChar w:fldCharType="begin">
          <w:ffData>
            <w:name w:val="文字27"/>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月</w:t>
      </w:r>
      <w:r>
        <w:fldChar w:fldCharType="begin">
          <w:ffData>
            <w:name w:val="文字27"/>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r>
        <w:rPr>
          <w:rFonts w:hint="eastAsia"/>
        </w:rPr>
        <w:t xml:space="preserve">日  </w:t>
      </w:r>
    </w:p>
    <w:p>
      <w:pPr>
        <w:rPr>
          <w:b/>
          <w:bCs/>
        </w:rPr>
      </w:pPr>
    </w:p>
    <w:p>
      <w:pPr>
        <w:rPr>
          <w:b/>
          <w:bCs/>
        </w:rPr>
      </w:pPr>
    </w:p>
    <w:p>
      <w:pPr>
        <w:rPr>
          <w:b/>
          <w:bCs/>
        </w:rPr>
      </w:pPr>
    </w:p>
    <w:p>
      <w:pPr>
        <w:rPr>
          <w:b/>
          <w:bCs/>
        </w:rPr>
      </w:pPr>
    </w:p>
    <w:p>
      <w:pPr>
        <w:rPr>
          <w:b/>
          <w:bCs/>
        </w:rPr>
      </w:pPr>
    </w:p>
    <w:p>
      <w:pPr>
        <w:rPr>
          <w:b/>
          <w:bCs/>
        </w:rPr>
      </w:pPr>
    </w:p>
    <w:p>
      <w:pPr>
        <w:rPr>
          <w:b/>
          <w:bCs/>
        </w:rPr>
      </w:pPr>
    </w:p>
    <w:p/>
    <w:p>
      <w:pPr>
        <w:spacing w:line="360" w:lineRule="auto"/>
        <w:rPr>
          <w:rFonts w:hint="eastAsia"/>
        </w:rPr>
      </w:pPr>
    </w:p>
    <w:p>
      <w:pPr>
        <w:spacing w:line="360" w:lineRule="auto"/>
      </w:pPr>
      <w:r>
        <w:rPr>
          <w:rFonts w:hint="eastAsia"/>
        </w:rPr>
        <w:t>附件三：委托方身份证明文件（自然人适用）</w:t>
      </w:r>
    </w:p>
    <w:p>
      <w:pPr>
        <w:spacing w:line="360" w:lineRule="auto"/>
      </w:pPr>
    </w:p>
    <w:sectPr>
      <w:footerReference r:id="rId3" w:type="default"/>
      <w:pgSz w:w="11906" w:h="16838"/>
      <w:pgMar w:top="1440" w:right="1080" w:bottom="1440" w:left="1080" w:header="851" w:footer="78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color w:val="4F81BD" w:themeColor="accent1"/>
        <w14:textFill>
          <w14:solidFill>
            <w14:schemeClr w14:val="accent1"/>
          </w14:solidFill>
        </w14:textFill>
      </w:rPr>
    </w:pPr>
    <w:r>
      <w:rPr>
        <w:color w:val="4F81BD" w:themeColor="accent1"/>
        <w:lang w:val="zh-CN"/>
        <w14:textFill>
          <w14:solidFill>
            <w14:schemeClr w14:val="accent1"/>
          </w14:solidFill>
        </w14:textFill>
      </w:rPr>
      <w:t xml:space="preserve">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PAGE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15</w:t>
    </w:r>
    <w:r>
      <w:rPr>
        <w:color w:val="4F81BD" w:themeColor="accent1"/>
        <w14:textFill>
          <w14:solidFill>
            <w14:schemeClr w14:val="accent1"/>
          </w14:solidFill>
        </w14:textFill>
      </w:rPr>
      <w:fldChar w:fldCharType="end"/>
    </w:r>
    <w:r>
      <w:rPr>
        <w:color w:val="4F81BD" w:themeColor="accent1"/>
        <w:lang w:val="zh-CN"/>
        <w14:textFill>
          <w14:solidFill>
            <w14:schemeClr w14:val="accent1"/>
          </w14:solidFill>
        </w14:textFill>
      </w:rPr>
      <w:t xml:space="preserve"> /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NUMPAGES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15</w:t>
    </w:r>
    <w:r>
      <w:rPr>
        <w:color w:val="4F81BD" w:themeColor="accent1"/>
        <w14:textFill>
          <w14:solidFill>
            <w14:schemeClr w14:val="accent1"/>
          </w14:solidFill>
        </w14:textFill>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72EAC"/>
    <w:multiLevelType w:val="multilevel"/>
    <w:tmpl w:val="1EF72EAC"/>
    <w:lvl w:ilvl="0" w:tentative="0">
      <w:start w:val="1"/>
      <w:numFmt w:val="decimal"/>
      <w:lvlText w:val="%1."/>
      <w:lvlJc w:val="left"/>
      <w:pPr>
        <w:ind w:left="220" w:hanging="2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5OGU4NDEzYWMxNGQ4ZjhlNWFjYTgyZDE3ZWU4OTYifQ=="/>
  </w:docVars>
  <w:rsids>
    <w:rsidRoot w:val="5ADC622A"/>
    <w:rsid w:val="000103D2"/>
    <w:rsid w:val="000208B3"/>
    <w:rsid w:val="00021C0D"/>
    <w:rsid w:val="00027A1F"/>
    <w:rsid w:val="000310BC"/>
    <w:rsid w:val="00033C0F"/>
    <w:rsid w:val="00035489"/>
    <w:rsid w:val="0003714D"/>
    <w:rsid w:val="00037A82"/>
    <w:rsid w:val="00043F8D"/>
    <w:rsid w:val="00047B32"/>
    <w:rsid w:val="000515D6"/>
    <w:rsid w:val="00057C53"/>
    <w:rsid w:val="000640DC"/>
    <w:rsid w:val="00066CA8"/>
    <w:rsid w:val="00067301"/>
    <w:rsid w:val="00070832"/>
    <w:rsid w:val="00084541"/>
    <w:rsid w:val="000917DF"/>
    <w:rsid w:val="00091BF1"/>
    <w:rsid w:val="00091CAA"/>
    <w:rsid w:val="00093657"/>
    <w:rsid w:val="00096002"/>
    <w:rsid w:val="00096D4F"/>
    <w:rsid w:val="000A75B7"/>
    <w:rsid w:val="000B0B89"/>
    <w:rsid w:val="000C2BCD"/>
    <w:rsid w:val="000C5F04"/>
    <w:rsid w:val="000E37B1"/>
    <w:rsid w:val="000E4381"/>
    <w:rsid w:val="000E4474"/>
    <w:rsid w:val="000F059C"/>
    <w:rsid w:val="000F5C06"/>
    <w:rsid w:val="000F7989"/>
    <w:rsid w:val="00102BA2"/>
    <w:rsid w:val="001077FC"/>
    <w:rsid w:val="0012134F"/>
    <w:rsid w:val="00121BBD"/>
    <w:rsid w:val="00126CAE"/>
    <w:rsid w:val="00132B31"/>
    <w:rsid w:val="0013506E"/>
    <w:rsid w:val="001375AE"/>
    <w:rsid w:val="00151C4D"/>
    <w:rsid w:val="00155CBE"/>
    <w:rsid w:val="00171AA0"/>
    <w:rsid w:val="001729F5"/>
    <w:rsid w:val="00172FBC"/>
    <w:rsid w:val="001809ED"/>
    <w:rsid w:val="001824D5"/>
    <w:rsid w:val="001827C5"/>
    <w:rsid w:val="00186677"/>
    <w:rsid w:val="00192BCE"/>
    <w:rsid w:val="00194792"/>
    <w:rsid w:val="001A3EBF"/>
    <w:rsid w:val="001A58FC"/>
    <w:rsid w:val="001B0318"/>
    <w:rsid w:val="001D16EC"/>
    <w:rsid w:val="001D4856"/>
    <w:rsid w:val="001D5266"/>
    <w:rsid w:val="001E0230"/>
    <w:rsid w:val="001E4BAC"/>
    <w:rsid w:val="001E686E"/>
    <w:rsid w:val="001F4777"/>
    <w:rsid w:val="002027E4"/>
    <w:rsid w:val="00204CD0"/>
    <w:rsid w:val="00204E3A"/>
    <w:rsid w:val="00205487"/>
    <w:rsid w:val="0021262E"/>
    <w:rsid w:val="00213799"/>
    <w:rsid w:val="00213E41"/>
    <w:rsid w:val="00213FC5"/>
    <w:rsid w:val="0021550E"/>
    <w:rsid w:val="002214F3"/>
    <w:rsid w:val="0022227C"/>
    <w:rsid w:val="00231607"/>
    <w:rsid w:val="00231A99"/>
    <w:rsid w:val="00235FF7"/>
    <w:rsid w:val="00251934"/>
    <w:rsid w:val="002541BC"/>
    <w:rsid w:val="00256D4C"/>
    <w:rsid w:val="0027271F"/>
    <w:rsid w:val="00273487"/>
    <w:rsid w:val="00274752"/>
    <w:rsid w:val="002A10F7"/>
    <w:rsid w:val="002A49C8"/>
    <w:rsid w:val="002B0B13"/>
    <w:rsid w:val="002C3D29"/>
    <w:rsid w:val="002D57A4"/>
    <w:rsid w:val="002D6E9D"/>
    <w:rsid w:val="002E5DC1"/>
    <w:rsid w:val="002F4670"/>
    <w:rsid w:val="00303D77"/>
    <w:rsid w:val="0031635D"/>
    <w:rsid w:val="0032376B"/>
    <w:rsid w:val="00323FF3"/>
    <w:rsid w:val="00334C38"/>
    <w:rsid w:val="003376CA"/>
    <w:rsid w:val="00337F1D"/>
    <w:rsid w:val="0034165B"/>
    <w:rsid w:val="00342C52"/>
    <w:rsid w:val="00343103"/>
    <w:rsid w:val="00351BD1"/>
    <w:rsid w:val="00353D91"/>
    <w:rsid w:val="00356E05"/>
    <w:rsid w:val="00363EAD"/>
    <w:rsid w:val="003733B1"/>
    <w:rsid w:val="0037360C"/>
    <w:rsid w:val="0037385F"/>
    <w:rsid w:val="00376366"/>
    <w:rsid w:val="00376388"/>
    <w:rsid w:val="003801CB"/>
    <w:rsid w:val="003827C2"/>
    <w:rsid w:val="00384D2D"/>
    <w:rsid w:val="00385CA6"/>
    <w:rsid w:val="00387E5C"/>
    <w:rsid w:val="003928EA"/>
    <w:rsid w:val="003949E6"/>
    <w:rsid w:val="003A15A4"/>
    <w:rsid w:val="003A382A"/>
    <w:rsid w:val="003A52B2"/>
    <w:rsid w:val="003A5E64"/>
    <w:rsid w:val="003A634A"/>
    <w:rsid w:val="003A6EF8"/>
    <w:rsid w:val="003A7B8E"/>
    <w:rsid w:val="003B0499"/>
    <w:rsid w:val="003B4DF3"/>
    <w:rsid w:val="003B5500"/>
    <w:rsid w:val="003B6EE9"/>
    <w:rsid w:val="003C547F"/>
    <w:rsid w:val="003C67BD"/>
    <w:rsid w:val="003C76F7"/>
    <w:rsid w:val="003D223C"/>
    <w:rsid w:val="003D63FE"/>
    <w:rsid w:val="003E1186"/>
    <w:rsid w:val="003E22B8"/>
    <w:rsid w:val="003E3417"/>
    <w:rsid w:val="003E3863"/>
    <w:rsid w:val="003E3DBA"/>
    <w:rsid w:val="003E5525"/>
    <w:rsid w:val="003F0155"/>
    <w:rsid w:val="003F1274"/>
    <w:rsid w:val="00401C1E"/>
    <w:rsid w:val="00402122"/>
    <w:rsid w:val="004101E0"/>
    <w:rsid w:val="00412358"/>
    <w:rsid w:val="00413A09"/>
    <w:rsid w:val="00415E34"/>
    <w:rsid w:val="00416C1F"/>
    <w:rsid w:val="0041773B"/>
    <w:rsid w:val="00417E90"/>
    <w:rsid w:val="00420E9C"/>
    <w:rsid w:val="00422BEB"/>
    <w:rsid w:val="00426A4C"/>
    <w:rsid w:val="00430029"/>
    <w:rsid w:val="004316A9"/>
    <w:rsid w:val="00432C87"/>
    <w:rsid w:val="00435ED5"/>
    <w:rsid w:val="00436BBB"/>
    <w:rsid w:val="004423F0"/>
    <w:rsid w:val="0044281F"/>
    <w:rsid w:val="004464FB"/>
    <w:rsid w:val="00452862"/>
    <w:rsid w:val="00454C2F"/>
    <w:rsid w:val="0047304F"/>
    <w:rsid w:val="00475C7A"/>
    <w:rsid w:val="00491495"/>
    <w:rsid w:val="00492965"/>
    <w:rsid w:val="004A2237"/>
    <w:rsid w:val="004A4273"/>
    <w:rsid w:val="004B3E27"/>
    <w:rsid w:val="004C6AD3"/>
    <w:rsid w:val="004D6E14"/>
    <w:rsid w:val="004E3707"/>
    <w:rsid w:val="004E6F2B"/>
    <w:rsid w:val="004E715C"/>
    <w:rsid w:val="004F3233"/>
    <w:rsid w:val="004F5620"/>
    <w:rsid w:val="00510934"/>
    <w:rsid w:val="00517930"/>
    <w:rsid w:val="00526733"/>
    <w:rsid w:val="00531A1C"/>
    <w:rsid w:val="00534C0E"/>
    <w:rsid w:val="00540B6A"/>
    <w:rsid w:val="00546F56"/>
    <w:rsid w:val="0055119F"/>
    <w:rsid w:val="005550F7"/>
    <w:rsid w:val="0055678C"/>
    <w:rsid w:val="005616CD"/>
    <w:rsid w:val="005647FC"/>
    <w:rsid w:val="00570CFE"/>
    <w:rsid w:val="005714CA"/>
    <w:rsid w:val="00580913"/>
    <w:rsid w:val="00583D2F"/>
    <w:rsid w:val="005900D1"/>
    <w:rsid w:val="0059051A"/>
    <w:rsid w:val="005913E0"/>
    <w:rsid w:val="00591F4A"/>
    <w:rsid w:val="005924F8"/>
    <w:rsid w:val="00592531"/>
    <w:rsid w:val="00595E73"/>
    <w:rsid w:val="005974C9"/>
    <w:rsid w:val="00597F28"/>
    <w:rsid w:val="005A2A82"/>
    <w:rsid w:val="005A3181"/>
    <w:rsid w:val="005B7F91"/>
    <w:rsid w:val="005D115E"/>
    <w:rsid w:val="005D1597"/>
    <w:rsid w:val="005D2571"/>
    <w:rsid w:val="005D40F4"/>
    <w:rsid w:val="005D48DC"/>
    <w:rsid w:val="005D77C3"/>
    <w:rsid w:val="005D7DB8"/>
    <w:rsid w:val="005E599B"/>
    <w:rsid w:val="005E783B"/>
    <w:rsid w:val="005F0112"/>
    <w:rsid w:val="005F0799"/>
    <w:rsid w:val="005F2920"/>
    <w:rsid w:val="00612332"/>
    <w:rsid w:val="0061365F"/>
    <w:rsid w:val="00615386"/>
    <w:rsid w:val="006157FB"/>
    <w:rsid w:val="006255B6"/>
    <w:rsid w:val="006300FC"/>
    <w:rsid w:val="00630256"/>
    <w:rsid w:val="00630EE4"/>
    <w:rsid w:val="006324D1"/>
    <w:rsid w:val="006442C2"/>
    <w:rsid w:val="00644329"/>
    <w:rsid w:val="006610C1"/>
    <w:rsid w:val="0066127A"/>
    <w:rsid w:val="00661418"/>
    <w:rsid w:val="00662949"/>
    <w:rsid w:val="00667907"/>
    <w:rsid w:val="00677267"/>
    <w:rsid w:val="00680864"/>
    <w:rsid w:val="00681992"/>
    <w:rsid w:val="00682BA6"/>
    <w:rsid w:val="00686280"/>
    <w:rsid w:val="0069596E"/>
    <w:rsid w:val="006A3782"/>
    <w:rsid w:val="006A6D46"/>
    <w:rsid w:val="006C0E14"/>
    <w:rsid w:val="006C1DD0"/>
    <w:rsid w:val="006C6402"/>
    <w:rsid w:val="006E42D1"/>
    <w:rsid w:val="006E740C"/>
    <w:rsid w:val="006F3D8F"/>
    <w:rsid w:val="006F63BB"/>
    <w:rsid w:val="00702A03"/>
    <w:rsid w:val="00702B57"/>
    <w:rsid w:val="00705F50"/>
    <w:rsid w:val="00711B03"/>
    <w:rsid w:val="00715FE0"/>
    <w:rsid w:val="00717A6C"/>
    <w:rsid w:val="00726340"/>
    <w:rsid w:val="0072662E"/>
    <w:rsid w:val="007267D9"/>
    <w:rsid w:val="0073069F"/>
    <w:rsid w:val="00731E15"/>
    <w:rsid w:val="00733D42"/>
    <w:rsid w:val="00734E17"/>
    <w:rsid w:val="00740583"/>
    <w:rsid w:val="00745ED0"/>
    <w:rsid w:val="0075269D"/>
    <w:rsid w:val="00755F5A"/>
    <w:rsid w:val="00765AF4"/>
    <w:rsid w:val="00767473"/>
    <w:rsid w:val="00771D20"/>
    <w:rsid w:val="00780DB0"/>
    <w:rsid w:val="00785CB5"/>
    <w:rsid w:val="00786BFB"/>
    <w:rsid w:val="00793B7C"/>
    <w:rsid w:val="007944E6"/>
    <w:rsid w:val="007A2AE2"/>
    <w:rsid w:val="007A5211"/>
    <w:rsid w:val="007A6EA5"/>
    <w:rsid w:val="007B0C22"/>
    <w:rsid w:val="007B134C"/>
    <w:rsid w:val="007B485C"/>
    <w:rsid w:val="007C2976"/>
    <w:rsid w:val="007D0969"/>
    <w:rsid w:val="007D7BE0"/>
    <w:rsid w:val="007F1E25"/>
    <w:rsid w:val="007F2822"/>
    <w:rsid w:val="007F6089"/>
    <w:rsid w:val="007F673F"/>
    <w:rsid w:val="007F74EE"/>
    <w:rsid w:val="008026CA"/>
    <w:rsid w:val="008052AD"/>
    <w:rsid w:val="0082125D"/>
    <w:rsid w:val="00825489"/>
    <w:rsid w:val="00825718"/>
    <w:rsid w:val="008306A2"/>
    <w:rsid w:val="0083603B"/>
    <w:rsid w:val="00841F96"/>
    <w:rsid w:val="008432F6"/>
    <w:rsid w:val="00845DE7"/>
    <w:rsid w:val="00855E7F"/>
    <w:rsid w:val="00862A7A"/>
    <w:rsid w:val="00864BC3"/>
    <w:rsid w:val="008714FA"/>
    <w:rsid w:val="00873952"/>
    <w:rsid w:val="0087652A"/>
    <w:rsid w:val="0088196F"/>
    <w:rsid w:val="00881FB9"/>
    <w:rsid w:val="00886D4F"/>
    <w:rsid w:val="00890C13"/>
    <w:rsid w:val="00892C4F"/>
    <w:rsid w:val="00893048"/>
    <w:rsid w:val="008934AA"/>
    <w:rsid w:val="00897073"/>
    <w:rsid w:val="008A076A"/>
    <w:rsid w:val="008A5AA7"/>
    <w:rsid w:val="008B07AA"/>
    <w:rsid w:val="008B139B"/>
    <w:rsid w:val="008B201B"/>
    <w:rsid w:val="008B6B3C"/>
    <w:rsid w:val="008C10B6"/>
    <w:rsid w:val="008C39CE"/>
    <w:rsid w:val="008C3A48"/>
    <w:rsid w:val="008C3CF5"/>
    <w:rsid w:val="008C682C"/>
    <w:rsid w:val="008D0BEE"/>
    <w:rsid w:val="008D38E6"/>
    <w:rsid w:val="008D70CD"/>
    <w:rsid w:val="008E5720"/>
    <w:rsid w:val="008F74EC"/>
    <w:rsid w:val="00901E20"/>
    <w:rsid w:val="00905016"/>
    <w:rsid w:val="00907539"/>
    <w:rsid w:val="00915168"/>
    <w:rsid w:val="00917EE9"/>
    <w:rsid w:val="009200E7"/>
    <w:rsid w:val="0092321B"/>
    <w:rsid w:val="0092429B"/>
    <w:rsid w:val="009255B1"/>
    <w:rsid w:val="009257BC"/>
    <w:rsid w:val="0092769F"/>
    <w:rsid w:val="00934EC9"/>
    <w:rsid w:val="00935E92"/>
    <w:rsid w:val="0093674C"/>
    <w:rsid w:val="00942BC0"/>
    <w:rsid w:val="009436DB"/>
    <w:rsid w:val="00945CA5"/>
    <w:rsid w:val="00954AE8"/>
    <w:rsid w:val="00954CA7"/>
    <w:rsid w:val="00960E53"/>
    <w:rsid w:val="00960EB1"/>
    <w:rsid w:val="009641B1"/>
    <w:rsid w:val="00967202"/>
    <w:rsid w:val="0097306E"/>
    <w:rsid w:val="00974DC5"/>
    <w:rsid w:val="00981166"/>
    <w:rsid w:val="00994628"/>
    <w:rsid w:val="009A79A1"/>
    <w:rsid w:val="009B4B15"/>
    <w:rsid w:val="009B607B"/>
    <w:rsid w:val="009C1D18"/>
    <w:rsid w:val="009C368C"/>
    <w:rsid w:val="009D3AD7"/>
    <w:rsid w:val="009D6645"/>
    <w:rsid w:val="009D6973"/>
    <w:rsid w:val="009D6F37"/>
    <w:rsid w:val="009E7536"/>
    <w:rsid w:val="009F538A"/>
    <w:rsid w:val="009F6B2E"/>
    <w:rsid w:val="009F7C94"/>
    <w:rsid w:val="00A030C0"/>
    <w:rsid w:val="00A06987"/>
    <w:rsid w:val="00A10E1F"/>
    <w:rsid w:val="00A13437"/>
    <w:rsid w:val="00A16439"/>
    <w:rsid w:val="00A203BA"/>
    <w:rsid w:val="00A245F6"/>
    <w:rsid w:val="00A47AE2"/>
    <w:rsid w:val="00A501A4"/>
    <w:rsid w:val="00A50CD4"/>
    <w:rsid w:val="00A52C92"/>
    <w:rsid w:val="00A63183"/>
    <w:rsid w:val="00A64679"/>
    <w:rsid w:val="00A77DFC"/>
    <w:rsid w:val="00A800C9"/>
    <w:rsid w:val="00A80622"/>
    <w:rsid w:val="00A83B84"/>
    <w:rsid w:val="00A90AC8"/>
    <w:rsid w:val="00A94464"/>
    <w:rsid w:val="00A95159"/>
    <w:rsid w:val="00AA08BE"/>
    <w:rsid w:val="00AA3F70"/>
    <w:rsid w:val="00AA5C6D"/>
    <w:rsid w:val="00AA637C"/>
    <w:rsid w:val="00AA7007"/>
    <w:rsid w:val="00AB1EF0"/>
    <w:rsid w:val="00AB4994"/>
    <w:rsid w:val="00AC0310"/>
    <w:rsid w:val="00AC4184"/>
    <w:rsid w:val="00AD11AD"/>
    <w:rsid w:val="00AD2E83"/>
    <w:rsid w:val="00AD6DCD"/>
    <w:rsid w:val="00AE129F"/>
    <w:rsid w:val="00AE14B2"/>
    <w:rsid w:val="00AE263F"/>
    <w:rsid w:val="00AE3F24"/>
    <w:rsid w:val="00AE728B"/>
    <w:rsid w:val="00AF064F"/>
    <w:rsid w:val="00AF6353"/>
    <w:rsid w:val="00AF66D2"/>
    <w:rsid w:val="00B03049"/>
    <w:rsid w:val="00B16849"/>
    <w:rsid w:val="00B2158E"/>
    <w:rsid w:val="00B240D6"/>
    <w:rsid w:val="00B26F3A"/>
    <w:rsid w:val="00B30B12"/>
    <w:rsid w:val="00B36394"/>
    <w:rsid w:val="00B376C9"/>
    <w:rsid w:val="00B42AA7"/>
    <w:rsid w:val="00B54E77"/>
    <w:rsid w:val="00B569FE"/>
    <w:rsid w:val="00B56AC0"/>
    <w:rsid w:val="00B67016"/>
    <w:rsid w:val="00B67734"/>
    <w:rsid w:val="00B67738"/>
    <w:rsid w:val="00B70403"/>
    <w:rsid w:val="00B70B43"/>
    <w:rsid w:val="00B710F5"/>
    <w:rsid w:val="00B71E27"/>
    <w:rsid w:val="00B75098"/>
    <w:rsid w:val="00B77939"/>
    <w:rsid w:val="00B945E5"/>
    <w:rsid w:val="00BA0986"/>
    <w:rsid w:val="00BA0B0F"/>
    <w:rsid w:val="00BA1EC7"/>
    <w:rsid w:val="00BA48BF"/>
    <w:rsid w:val="00BA6026"/>
    <w:rsid w:val="00BA6393"/>
    <w:rsid w:val="00BB1055"/>
    <w:rsid w:val="00BB43C3"/>
    <w:rsid w:val="00BC2104"/>
    <w:rsid w:val="00BC31A5"/>
    <w:rsid w:val="00BC3965"/>
    <w:rsid w:val="00BD6A0C"/>
    <w:rsid w:val="00BF1DF5"/>
    <w:rsid w:val="00BF1EB0"/>
    <w:rsid w:val="00BF4690"/>
    <w:rsid w:val="00BF4FFB"/>
    <w:rsid w:val="00BF6E3B"/>
    <w:rsid w:val="00C07EE6"/>
    <w:rsid w:val="00C119D2"/>
    <w:rsid w:val="00C20434"/>
    <w:rsid w:val="00C234BE"/>
    <w:rsid w:val="00C2442D"/>
    <w:rsid w:val="00C24C52"/>
    <w:rsid w:val="00C31438"/>
    <w:rsid w:val="00C57033"/>
    <w:rsid w:val="00C6351E"/>
    <w:rsid w:val="00C70366"/>
    <w:rsid w:val="00C7182A"/>
    <w:rsid w:val="00C7382B"/>
    <w:rsid w:val="00C75A20"/>
    <w:rsid w:val="00C75D4C"/>
    <w:rsid w:val="00C80344"/>
    <w:rsid w:val="00C80C11"/>
    <w:rsid w:val="00C94720"/>
    <w:rsid w:val="00C97818"/>
    <w:rsid w:val="00CA2862"/>
    <w:rsid w:val="00CA7B5E"/>
    <w:rsid w:val="00CB0535"/>
    <w:rsid w:val="00CB25F8"/>
    <w:rsid w:val="00CB3047"/>
    <w:rsid w:val="00CB4C01"/>
    <w:rsid w:val="00CB7A62"/>
    <w:rsid w:val="00CC4D13"/>
    <w:rsid w:val="00CD171D"/>
    <w:rsid w:val="00CE6098"/>
    <w:rsid w:val="00CE61BF"/>
    <w:rsid w:val="00CE769F"/>
    <w:rsid w:val="00D004EE"/>
    <w:rsid w:val="00D12546"/>
    <w:rsid w:val="00D152A9"/>
    <w:rsid w:val="00D16C1E"/>
    <w:rsid w:val="00D322AB"/>
    <w:rsid w:val="00D32C2D"/>
    <w:rsid w:val="00D33D4C"/>
    <w:rsid w:val="00D3424D"/>
    <w:rsid w:val="00D40243"/>
    <w:rsid w:val="00D46417"/>
    <w:rsid w:val="00D469E2"/>
    <w:rsid w:val="00D71AD4"/>
    <w:rsid w:val="00D71B7D"/>
    <w:rsid w:val="00D77367"/>
    <w:rsid w:val="00D85E2B"/>
    <w:rsid w:val="00D91050"/>
    <w:rsid w:val="00D92DD5"/>
    <w:rsid w:val="00D938A0"/>
    <w:rsid w:val="00D94FD9"/>
    <w:rsid w:val="00D954F2"/>
    <w:rsid w:val="00DA09D4"/>
    <w:rsid w:val="00DA2889"/>
    <w:rsid w:val="00DA4B57"/>
    <w:rsid w:val="00DA5E0D"/>
    <w:rsid w:val="00DA6855"/>
    <w:rsid w:val="00DB1FD4"/>
    <w:rsid w:val="00DB4848"/>
    <w:rsid w:val="00DB4FCC"/>
    <w:rsid w:val="00DB4FFC"/>
    <w:rsid w:val="00DC2BD1"/>
    <w:rsid w:val="00DC357A"/>
    <w:rsid w:val="00DC5C0A"/>
    <w:rsid w:val="00DC63E5"/>
    <w:rsid w:val="00DC65A9"/>
    <w:rsid w:val="00DD1841"/>
    <w:rsid w:val="00DD3D06"/>
    <w:rsid w:val="00DD6857"/>
    <w:rsid w:val="00DE53AD"/>
    <w:rsid w:val="00DF026C"/>
    <w:rsid w:val="00DF713C"/>
    <w:rsid w:val="00E0710A"/>
    <w:rsid w:val="00E07F14"/>
    <w:rsid w:val="00E13502"/>
    <w:rsid w:val="00E13EEC"/>
    <w:rsid w:val="00E148BE"/>
    <w:rsid w:val="00E25F1B"/>
    <w:rsid w:val="00E421C1"/>
    <w:rsid w:val="00E42C87"/>
    <w:rsid w:val="00E45082"/>
    <w:rsid w:val="00E50396"/>
    <w:rsid w:val="00E67513"/>
    <w:rsid w:val="00E67BF9"/>
    <w:rsid w:val="00E703F2"/>
    <w:rsid w:val="00E71EC5"/>
    <w:rsid w:val="00E82005"/>
    <w:rsid w:val="00E9219C"/>
    <w:rsid w:val="00E921C7"/>
    <w:rsid w:val="00E94AA9"/>
    <w:rsid w:val="00E96F39"/>
    <w:rsid w:val="00EA64A0"/>
    <w:rsid w:val="00EA7F31"/>
    <w:rsid w:val="00EB0940"/>
    <w:rsid w:val="00EB153C"/>
    <w:rsid w:val="00EB622A"/>
    <w:rsid w:val="00EC22AE"/>
    <w:rsid w:val="00EC47D5"/>
    <w:rsid w:val="00EC66B5"/>
    <w:rsid w:val="00EC7B89"/>
    <w:rsid w:val="00EE0295"/>
    <w:rsid w:val="00EE3DF5"/>
    <w:rsid w:val="00EE4A79"/>
    <w:rsid w:val="00EF08E5"/>
    <w:rsid w:val="00EF534D"/>
    <w:rsid w:val="00F00538"/>
    <w:rsid w:val="00F00B9E"/>
    <w:rsid w:val="00F02829"/>
    <w:rsid w:val="00F02AF4"/>
    <w:rsid w:val="00F0552A"/>
    <w:rsid w:val="00F073D3"/>
    <w:rsid w:val="00F07792"/>
    <w:rsid w:val="00F14091"/>
    <w:rsid w:val="00F17FA5"/>
    <w:rsid w:val="00F36A48"/>
    <w:rsid w:val="00F401AD"/>
    <w:rsid w:val="00F43A6E"/>
    <w:rsid w:val="00F4432D"/>
    <w:rsid w:val="00F44369"/>
    <w:rsid w:val="00F54A5D"/>
    <w:rsid w:val="00F60E0D"/>
    <w:rsid w:val="00F622A4"/>
    <w:rsid w:val="00F67DCD"/>
    <w:rsid w:val="00F701C3"/>
    <w:rsid w:val="00F815CA"/>
    <w:rsid w:val="00F85E20"/>
    <w:rsid w:val="00F9364A"/>
    <w:rsid w:val="00F93717"/>
    <w:rsid w:val="00F956BB"/>
    <w:rsid w:val="00F95D20"/>
    <w:rsid w:val="00FA14A4"/>
    <w:rsid w:val="00FA5DF0"/>
    <w:rsid w:val="00FB009B"/>
    <w:rsid w:val="00FB28A8"/>
    <w:rsid w:val="00FB4F5B"/>
    <w:rsid w:val="00FB6625"/>
    <w:rsid w:val="00FB74A0"/>
    <w:rsid w:val="00FD239C"/>
    <w:rsid w:val="00FD479D"/>
    <w:rsid w:val="00FD6AD8"/>
    <w:rsid w:val="00FE13CA"/>
    <w:rsid w:val="00FE5AD5"/>
    <w:rsid w:val="00FE611D"/>
    <w:rsid w:val="00FE6B0A"/>
    <w:rsid w:val="00FF14DC"/>
    <w:rsid w:val="00FF2A25"/>
    <w:rsid w:val="00FF554E"/>
    <w:rsid w:val="00FF6D53"/>
    <w:rsid w:val="00FF7FB3"/>
    <w:rsid w:val="04AB19E8"/>
    <w:rsid w:val="05F53D32"/>
    <w:rsid w:val="07291368"/>
    <w:rsid w:val="105C2783"/>
    <w:rsid w:val="19D062A0"/>
    <w:rsid w:val="25642406"/>
    <w:rsid w:val="2C346611"/>
    <w:rsid w:val="2C593187"/>
    <w:rsid w:val="33A55918"/>
    <w:rsid w:val="357643A0"/>
    <w:rsid w:val="3C98172E"/>
    <w:rsid w:val="3CCB583B"/>
    <w:rsid w:val="3DA94E89"/>
    <w:rsid w:val="3EC55FD8"/>
    <w:rsid w:val="3FA149B1"/>
    <w:rsid w:val="429640B0"/>
    <w:rsid w:val="4409064C"/>
    <w:rsid w:val="457C2166"/>
    <w:rsid w:val="499A2857"/>
    <w:rsid w:val="4DFB719A"/>
    <w:rsid w:val="549C4531"/>
    <w:rsid w:val="597D763B"/>
    <w:rsid w:val="5ADC622A"/>
    <w:rsid w:val="627F69A6"/>
    <w:rsid w:val="631F04A7"/>
    <w:rsid w:val="634534E0"/>
    <w:rsid w:val="698A6DD2"/>
    <w:rsid w:val="6D4B6406"/>
    <w:rsid w:val="7055093B"/>
    <w:rsid w:val="734E5367"/>
    <w:rsid w:val="77E565C7"/>
    <w:rsid w:val="7BBA480E"/>
    <w:rsid w:val="7FEA4535"/>
    <w:rsid w:val="B9FE055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0"/>
    <w:pPr>
      <w:keepNext/>
      <w:keepLines/>
      <w:widowControl w:val="0"/>
      <w:spacing w:before="340" w:after="330" w:line="578" w:lineRule="auto"/>
      <w:jc w:val="both"/>
      <w:outlineLvl w:val="0"/>
    </w:pPr>
    <w:rPr>
      <w:rFonts w:ascii="Calibri" w:hAnsi="Calibri" w:cs="Times New Roman"/>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Calibri" w:hAnsi="Calibri" w:cs="Times New Roman"/>
      <w:kern w:val="2"/>
      <w:sz w:val="21"/>
    </w:rPr>
  </w:style>
  <w:style w:type="paragraph" w:styleId="4">
    <w:name w:val="Date"/>
    <w:basedOn w:val="1"/>
    <w:next w:val="1"/>
    <w:link w:val="24"/>
    <w:semiHidden/>
    <w:unhideWhenUsed/>
    <w:qFormat/>
    <w:uiPriority w:val="0"/>
    <w:pPr>
      <w:ind w:left="100" w:leftChars="2500"/>
    </w:pPr>
  </w:style>
  <w:style w:type="paragraph" w:styleId="5">
    <w:name w:val="Balloon Text"/>
    <w:basedOn w:val="1"/>
    <w:link w:val="19"/>
    <w:qFormat/>
    <w:uiPriority w:val="0"/>
    <w:pPr>
      <w:widowControl w:val="0"/>
      <w:jc w:val="both"/>
    </w:pPr>
    <w:rPr>
      <w:rFonts w:ascii="Calibri" w:hAnsi="Calibri" w:cs="Times New Roman"/>
      <w:kern w:val="2"/>
      <w:sz w:val="18"/>
      <w:szCs w:val="18"/>
    </w:rPr>
  </w:style>
  <w:style w:type="paragraph" w:styleId="6">
    <w:name w:val="footer"/>
    <w:basedOn w:val="1"/>
    <w:link w:val="26"/>
    <w:qFormat/>
    <w:uiPriority w:val="99"/>
    <w:pPr>
      <w:widowControl w:val="0"/>
      <w:tabs>
        <w:tab w:val="center" w:pos="4153"/>
        <w:tab w:val="right" w:pos="8306"/>
      </w:tabs>
      <w:snapToGrid w:val="0"/>
    </w:pPr>
    <w:rPr>
      <w:rFonts w:ascii="Calibri" w:hAnsi="Calibri" w:cs="Times New Roman"/>
      <w:kern w:val="2"/>
      <w:sz w:val="18"/>
    </w:rPr>
  </w:style>
  <w:style w:type="paragraph" w:styleId="7">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Calibri" w:hAnsi="Calibri" w:cs="Times New Roman"/>
      <w:kern w:val="2"/>
      <w:sz w:val="18"/>
    </w:rPr>
  </w:style>
  <w:style w:type="paragraph" w:styleId="8">
    <w:name w:val="footnote text"/>
    <w:basedOn w:val="1"/>
    <w:link w:val="29"/>
    <w:semiHidden/>
    <w:unhideWhenUsed/>
    <w:qFormat/>
    <w:uiPriority w:val="0"/>
    <w:pPr>
      <w:snapToGrid w:val="0"/>
    </w:pPr>
    <w:rPr>
      <w:sz w:val="18"/>
      <w:szCs w:val="18"/>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3"/>
    <w:next w:val="3"/>
    <w:link w:val="18"/>
    <w:qFormat/>
    <w:uiPriority w:val="0"/>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0"/>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FF"/>
      <w:u w:val="single"/>
    </w:rPr>
  </w:style>
  <w:style w:type="character" w:styleId="16">
    <w:name w:val="annotation reference"/>
    <w:qFormat/>
    <w:uiPriority w:val="99"/>
    <w:rPr>
      <w:sz w:val="21"/>
      <w:szCs w:val="21"/>
    </w:rPr>
  </w:style>
  <w:style w:type="character" w:styleId="17">
    <w:name w:val="footnote reference"/>
    <w:basedOn w:val="13"/>
    <w:semiHidden/>
    <w:unhideWhenUsed/>
    <w:qFormat/>
    <w:uiPriority w:val="0"/>
    <w:rPr>
      <w:vertAlign w:val="superscript"/>
    </w:rPr>
  </w:style>
  <w:style w:type="character" w:customStyle="1" w:styleId="18">
    <w:name w:val="批注主题 字符"/>
    <w:link w:val="10"/>
    <w:qFormat/>
    <w:uiPriority w:val="0"/>
    <w:rPr>
      <w:b/>
      <w:bCs/>
      <w:kern w:val="2"/>
      <w:sz w:val="21"/>
      <w:szCs w:val="24"/>
    </w:rPr>
  </w:style>
  <w:style w:type="character" w:customStyle="1" w:styleId="19">
    <w:name w:val="批注框文本 字符"/>
    <w:link w:val="5"/>
    <w:qFormat/>
    <w:uiPriority w:val="0"/>
    <w:rPr>
      <w:kern w:val="2"/>
      <w:sz w:val="18"/>
      <w:szCs w:val="18"/>
    </w:rPr>
  </w:style>
  <w:style w:type="character" w:customStyle="1" w:styleId="20">
    <w:name w:val="批注文字 字符"/>
    <w:link w:val="3"/>
    <w:qFormat/>
    <w:uiPriority w:val="99"/>
    <w:rPr>
      <w:kern w:val="2"/>
      <w:sz w:val="21"/>
      <w:szCs w:val="24"/>
    </w:rPr>
  </w:style>
  <w:style w:type="character" w:customStyle="1" w:styleId="21">
    <w:name w:val="标题 1 字符"/>
    <w:basedOn w:val="13"/>
    <w:link w:val="2"/>
    <w:qFormat/>
    <w:uiPriority w:val="0"/>
    <w:rPr>
      <w:b/>
      <w:bCs/>
      <w:kern w:val="44"/>
      <w:sz w:val="44"/>
      <w:szCs w:val="44"/>
    </w:rPr>
  </w:style>
  <w:style w:type="paragraph" w:customStyle="1" w:styleId="22">
    <w:name w:val="修订1"/>
    <w:hidden/>
    <w:semiHidden/>
    <w:qFormat/>
    <w:uiPriority w:val="99"/>
    <w:rPr>
      <w:rFonts w:ascii="Calibri" w:hAnsi="Calibri" w:eastAsia="宋体" w:cs="Times New Roman"/>
      <w:kern w:val="2"/>
      <w:sz w:val="21"/>
      <w:szCs w:val="24"/>
      <w:lang w:val="en-US" w:eastAsia="zh-CN" w:bidi="ar-SA"/>
    </w:rPr>
  </w:style>
  <w:style w:type="character" w:customStyle="1" w:styleId="23">
    <w:name w:val="未处理的提及1"/>
    <w:basedOn w:val="13"/>
    <w:semiHidden/>
    <w:unhideWhenUsed/>
    <w:qFormat/>
    <w:uiPriority w:val="99"/>
    <w:rPr>
      <w:color w:val="605E5C"/>
      <w:shd w:val="clear" w:color="auto" w:fill="E1DFDD"/>
    </w:rPr>
  </w:style>
  <w:style w:type="character" w:customStyle="1" w:styleId="24">
    <w:name w:val="日期 字符"/>
    <w:basedOn w:val="13"/>
    <w:link w:val="4"/>
    <w:semiHidden/>
    <w:qFormat/>
    <w:uiPriority w:val="0"/>
    <w:rPr>
      <w:kern w:val="2"/>
      <w:sz w:val="21"/>
      <w:szCs w:val="24"/>
    </w:rPr>
  </w:style>
  <w:style w:type="paragraph" w:customStyle="1" w:styleId="25">
    <w:name w:val="列表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6">
    <w:name w:val="页脚 字符"/>
    <w:basedOn w:val="13"/>
    <w:link w:val="6"/>
    <w:qFormat/>
    <w:uiPriority w:val="99"/>
    <w:rPr>
      <w:kern w:val="2"/>
      <w:sz w:val="18"/>
      <w:szCs w:val="24"/>
    </w:rPr>
  </w:style>
  <w:style w:type="paragraph" w:customStyle="1" w:styleId="27">
    <w:name w:val="Revision"/>
    <w:hidden/>
    <w:semiHidden/>
    <w:qFormat/>
    <w:uiPriority w:val="99"/>
    <w:rPr>
      <w:rFonts w:ascii="Calibri" w:hAnsi="Calibri" w:eastAsia="宋体" w:cs="Times New Roman"/>
      <w:kern w:val="2"/>
      <w:sz w:val="21"/>
      <w:szCs w:val="24"/>
      <w:lang w:val="en-US" w:eastAsia="zh-CN" w:bidi="ar-SA"/>
    </w:rPr>
  </w:style>
  <w:style w:type="character" w:customStyle="1" w:styleId="28">
    <w:name w:val="ne-text"/>
    <w:basedOn w:val="13"/>
    <w:qFormat/>
    <w:uiPriority w:val="0"/>
  </w:style>
  <w:style w:type="character" w:customStyle="1" w:styleId="29">
    <w:name w:val="脚注文本 字符"/>
    <w:basedOn w:val="13"/>
    <w:link w:val="8"/>
    <w:semiHidden/>
    <w:qFormat/>
    <w:uiPriority w:val="0"/>
    <w:rPr>
      <w:rFonts w:ascii="宋体" w:hAnsi="宋体" w:cs="宋体"/>
      <w:sz w:val="18"/>
      <w:szCs w:val="18"/>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9D44E-74B7-4E55-BD08-661F1CE0EA4D}">
  <ds:schemaRefs/>
</ds:datastoreItem>
</file>

<file path=docProps/app.xml><?xml version="1.0" encoding="utf-8"?>
<Properties xmlns="http://schemas.openxmlformats.org/officeDocument/2006/extended-properties" xmlns:vt="http://schemas.openxmlformats.org/officeDocument/2006/docPropsVTypes">
  <Template>Normal</Template>
  <Pages>11</Pages>
  <Words>6529</Words>
  <Characters>6800</Characters>
  <Lines>56</Lines>
  <Paragraphs>15</Paragraphs>
  <TotalTime>9</TotalTime>
  <ScaleCrop>false</ScaleCrop>
  <LinksUpToDate>false</LinksUpToDate>
  <CharactersWithSpaces>7230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2022-01-06T08:10:00Z</dcterms:created>
  <dc:creator>小燕子穿花衣</dc:creator>
  <cp:lastModifiedBy>绵绵</cp:lastModifiedBy>
  <cp:lastPrinted>2022-03-07T07:26:00Z</cp:lastPrinted>
  <dcterms:modified xsi:type="dcterms:W3CDTF">2022-06-28T05:16:10Z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property1">
    <vt:lpwstr>E6636BC20180234D78A0072836F0BE2032B9B20C109A8BF0A1D98936B1492B856B49B73821CC0B0822192A0838467BEB6C0921EAA1D01B511BBFC2E27F1E15D924D433AD2327C4A744DB2E976A6F4F939E06ECB373943F7508B8F19341F9DC88D6162D980E3</vt:lpwstr>
  </property>
  <property fmtid="{D5CDD505-2E9C-101B-9397-08002B2CF9AE}" pid="4" name="property2">
    <vt:lpwstr>BBAAD9C20014179B94A0072836F0B430B2B9B20A1C6D6B20AAD98C30B16D2B716B49B23861C33B0A22492508C84625EB5809215A11D0EBE11BBFC2487C0E2BD724DEF0AD4C2D965704A42CC76F4F43405600E571725205D5F886119750ABAC58DF862692DE3</vt:lpwstr>
  </property>
  <property fmtid="{D5CDD505-2E9C-101B-9397-08002B2CF9AE}" pid="5" name="ICV">
    <vt:lpwstr>F2FF8BC4E7E84BA29C8CC139FBDFE401</vt:lpwstr>
  </property>
</Properties>
</file>